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776C6" w14:textId="7C1BB66C" w:rsidR="00FA125D" w:rsidRDefault="004B02B7" w:rsidP="00214E75">
      <w:pPr>
        <w:spacing w:line="240" w:lineRule="auto"/>
        <w:contextualSpacing/>
        <w:jc w:val="center"/>
        <w:rPr>
          <w:u w:val="single"/>
        </w:rPr>
      </w:pPr>
      <w:bookmarkStart w:id="0" w:name="_GoBack"/>
      <w:bookmarkEnd w:id="0"/>
      <w:r w:rsidRPr="00D1508F">
        <w:rPr>
          <w:u w:val="single"/>
        </w:rPr>
        <w:t>MSH Same Day</w:t>
      </w:r>
      <w:r w:rsidR="00B50C98">
        <w:rPr>
          <w:u w:val="single"/>
        </w:rPr>
        <w:t xml:space="preserve"> Discharge for</w:t>
      </w:r>
      <w:r w:rsidRPr="00D1508F">
        <w:rPr>
          <w:u w:val="single"/>
        </w:rPr>
        <w:t xml:space="preserve"> Total Joint Replacement (TJR) Protocol</w:t>
      </w:r>
    </w:p>
    <w:p w14:paraId="02C4402F" w14:textId="77777777" w:rsidR="00214E75" w:rsidRPr="00D1508F" w:rsidRDefault="00214E75" w:rsidP="00214E75">
      <w:pPr>
        <w:spacing w:line="240" w:lineRule="auto"/>
        <w:contextualSpacing/>
        <w:jc w:val="center"/>
        <w:rPr>
          <w:u w:val="single"/>
        </w:rPr>
      </w:pPr>
    </w:p>
    <w:p w14:paraId="3DDEEBAB" w14:textId="20461774" w:rsidR="004B02B7" w:rsidRDefault="004B02B7" w:rsidP="00214E75">
      <w:pPr>
        <w:spacing w:after="0" w:line="240" w:lineRule="auto"/>
        <w:contextualSpacing/>
      </w:pPr>
      <w:r w:rsidRPr="000E4826">
        <w:rPr>
          <w:b/>
        </w:rPr>
        <w:t>Purpose:</w:t>
      </w:r>
      <w:r w:rsidR="00214E75">
        <w:rPr>
          <w:b/>
        </w:rPr>
        <w:t xml:space="preserve"> </w:t>
      </w:r>
      <w:r w:rsidR="00214E75">
        <w:t xml:space="preserve">To decrease cost, while maintaining the safety of post-operative care and </w:t>
      </w:r>
      <w:r w:rsidR="007C779F">
        <w:t xml:space="preserve">reducing risk of </w:t>
      </w:r>
      <w:r w:rsidR="00214E75">
        <w:t xml:space="preserve">patients </w:t>
      </w:r>
      <w:r w:rsidR="007C779F">
        <w:t xml:space="preserve">experiencing </w:t>
      </w:r>
      <w:r w:rsidR="00214E75">
        <w:t xml:space="preserve">hospital acquired </w:t>
      </w:r>
      <w:r w:rsidR="007C779F">
        <w:t>adverse events</w:t>
      </w:r>
      <w:r w:rsidR="00214E75">
        <w:t>, such as infection. To increase volume of hip and knee replacement patients without requiring a surgical inpatient bed.</w:t>
      </w:r>
    </w:p>
    <w:p w14:paraId="2C03D97D" w14:textId="77777777" w:rsidR="00214E75" w:rsidRDefault="00214E75" w:rsidP="00214E75">
      <w:pPr>
        <w:spacing w:after="0" w:line="240" w:lineRule="auto"/>
        <w:contextualSpacing/>
      </w:pPr>
    </w:p>
    <w:p w14:paraId="2ABB5D23" w14:textId="77777777" w:rsidR="004B02B7" w:rsidRPr="000E4826" w:rsidRDefault="004B02B7" w:rsidP="00214E75">
      <w:pPr>
        <w:spacing w:after="0" w:line="240" w:lineRule="auto"/>
        <w:contextualSpacing/>
        <w:rPr>
          <w:b/>
        </w:rPr>
      </w:pPr>
      <w:r w:rsidRPr="000E4826">
        <w:rPr>
          <w:b/>
        </w:rPr>
        <w:t>Goal:</w:t>
      </w:r>
    </w:p>
    <w:p w14:paraId="70F0E18D" w14:textId="77777777" w:rsidR="00EE024D" w:rsidRDefault="004B02B7" w:rsidP="00214E75">
      <w:pPr>
        <w:spacing w:after="0" w:line="240" w:lineRule="auto"/>
        <w:contextualSpacing/>
        <w:rPr>
          <w:rFonts w:eastAsia="Times New Roman" w:cs="Times New Roman"/>
        </w:rPr>
      </w:pPr>
      <w:r w:rsidRPr="004B02B7">
        <w:rPr>
          <w:rFonts w:eastAsia="Times New Roman" w:cs="Times New Roman"/>
        </w:rPr>
        <w:t xml:space="preserve">MSH will offer an outpatient option for a select group of patients </w:t>
      </w:r>
      <w:r w:rsidR="00214E75">
        <w:rPr>
          <w:rFonts w:eastAsia="Times New Roman" w:cs="Times New Roman"/>
        </w:rPr>
        <w:t>that are scheduled for either</w:t>
      </w:r>
      <w:r w:rsidRPr="004B02B7">
        <w:rPr>
          <w:rFonts w:eastAsia="Times New Roman" w:cs="Times New Roman"/>
        </w:rPr>
        <w:t xml:space="preserve"> Primary Total Hip Replacement (THR), Primary Total Knee Replacement (TKR)</w:t>
      </w:r>
      <w:r w:rsidR="00214E75">
        <w:rPr>
          <w:rFonts w:eastAsia="Times New Roman" w:cs="Times New Roman"/>
        </w:rPr>
        <w:t>,</w:t>
      </w:r>
      <w:r w:rsidRPr="004B02B7">
        <w:rPr>
          <w:rFonts w:eastAsia="Times New Roman" w:cs="Times New Roman"/>
        </w:rPr>
        <w:t xml:space="preserve"> or Uni-Compartmental Knee Replacement (UKR). </w:t>
      </w:r>
      <w:r w:rsidR="00EE024D">
        <w:rPr>
          <w:rFonts w:eastAsia="Times New Roman" w:cs="Times New Roman"/>
        </w:rPr>
        <w:t>Patients must meet certain inclusion criteria.</w:t>
      </w:r>
    </w:p>
    <w:p w14:paraId="6409D642" w14:textId="77777777" w:rsidR="00214E75" w:rsidRDefault="00214E75" w:rsidP="00214E75">
      <w:pPr>
        <w:spacing w:before="100" w:beforeAutospacing="1" w:after="100" w:afterAutospacing="1" w:line="240" w:lineRule="auto"/>
        <w:contextualSpacing/>
        <w:rPr>
          <w:rFonts w:eastAsia="Times New Roman" w:cs="Times New Roman"/>
          <w:i/>
          <w:iCs/>
        </w:rPr>
      </w:pPr>
    </w:p>
    <w:p w14:paraId="686D7B84" w14:textId="54A7409E" w:rsidR="003E582B" w:rsidRPr="003E582B" w:rsidRDefault="003E582B" w:rsidP="00214E75">
      <w:pPr>
        <w:spacing w:before="100" w:beforeAutospacing="1" w:after="100" w:afterAutospacing="1" w:line="240" w:lineRule="auto"/>
        <w:contextualSpacing/>
        <w:rPr>
          <w:rFonts w:eastAsia="Times New Roman" w:cs="Times New Roman"/>
        </w:rPr>
      </w:pPr>
      <w:r w:rsidRPr="003E582B">
        <w:rPr>
          <w:rFonts w:eastAsia="Times New Roman" w:cs="Times New Roman"/>
        </w:rPr>
        <w:t xml:space="preserve">Outpatient TJR (also known as Same Day </w:t>
      </w:r>
      <w:r w:rsidR="00B50C98">
        <w:rPr>
          <w:rFonts w:eastAsia="Times New Roman" w:cs="Times New Roman"/>
        </w:rPr>
        <w:t xml:space="preserve">Discharge for </w:t>
      </w:r>
      <w:r w:rsidRPr="003E582B">
        <w:rPr>
          <w:rFonts w:eastAsia="Times New Roman" w:cs="Times New Roman"/>
        </w:rPr>
        <w:t>Total Joint Replacement) surgery is defined as a</w:t>
      </w:r>
      <w:r w:rsidR="00214E75">
        <w:rPr>
          <w:rFonts w:eastAsia="Times New Roman" w:cs="Times New Roman"/>
        </w:rPr>
        <w:t xml:space="preserve"> process where a</w:t>
      </w:r>
      <w:r w:rsidRPr="003E582B">
        <w:rPr>
          <w:rFonts w:eastAsia="Times New Roman" w:cs="Times New Roman"/>
        </w:rPr>
        <w:t xml:space="preserve"> patient will be discharged from the hospital the same day that the procedure is performed. </w:t>
      </w:r>
    </w:p>
    <w:p w14:paraId="4B28531D" w14:textId="77777777" w:rsidR="00214E75" w:rsidRDefault="00214E75" w:rsidP="00214E75">
      <w:pPr>
        <w:spacing w:before="100" w:beforeAutospacing="1" w:after="100" w:afterAutospacing="1" w:line="240" w:lineRule="auto"/>
        <w:contextualSpacing/>
        <w:rPr>
          <w:rFonts w:eastAsia="Times New Roman" w:cs="Times New Roman"/>
          <w:b/>
          <w:bCs/>
        </w:rPr>
      </w:pPr>
    </w:p>
    <w:p w14:paraId="09829C72" w14:textId="115A849B" w:rsidR="00762569" w:rsidRPr="000B5DB2" w:rsidRDefault="00243030" w:rsidP="00762569">
      <w:pPr>
        <w:spacing w:before="100" w:beforeAutospacing="1" w:after="100" w:afterAutospacing="1" w:line="240" w:lineRule="auto"/>
        <w:contextualSpacing/>
        <w:rPr>
          <w:rFonts w:eastAsia="Times New Roman" w:cs="Times New Roman"/>
          <w:bCs/>
        </w:rPr>
      </w:pPr>
      <w:r>
        <w:rPr>
          <w:rFonts w:eastAsia="Times New Roman" w:cs="Times New Roman"/>
          <w:b/>
          <w:bCs/>
        </w:rPr>
        <w:t>Exclusion Criteria</w:t>
      </w:r>
      <w:r w:rsidR="000E4826" w:rsidRPr="000E4826">
        <w:rPr>
          <w:rFonts w:eastAsia="Times New Roman" w:cs="Times New Roman"/>
          <w:b/>
          <w:bCs/>
        </w:rPr>
        <w:t>:</w:t>
      </w:r>
      <w:r w:rsidR="00762569">
        <w:rPr>
          <w:rFonts w:eastAsia="Times New Roman" w:cs="Times New Roman"/>
          <w:b/>
          <w:bCs/>
        </w:rPr>
        <w:t xml:space="preserve"> </w:t>
      </w:r>
    </w:p>
    <w:p w14:paraId="7D411B8E" w14:textId="0B3EBB9B" w:rsidR="00762569" w:rsidRDefault="00762569" w:rsidP="00762569">
      <w:pPr>
        <w:spacing w:before="100" w:beforeAutospacing="1" w:after="100" w:afterAutospacing="1" w:line="240" w:lineRule="auto"/>
        <w:contextualSpacing/>
        <w:rPr>
          <w:rFonts w:eastAsia="Times New Roman" w:cs="Times New Roman"/>
        </w:rPr>
      </w:pPr>
    </w:p>
    <w:tbl>
      <w:tblPr>
        <w:tblStyle w:val="TableGrid"/>
        <w:tblW w:w="0" w:type="auto"/>
        <w:tblLook w:val="04A0" w:firstRow="1" w:lastRow="0" w:firstColumn="1" w:lastColumn="0" w:noHBand="0" w:noVBand="1"/>
      </w:tblPr>
      <w:tblGrid>
        <w:gridCol w:w="4788"/>
        <w:gridCol w:w="4788"/>
      </w:tblGrid>
      <w:tr w:rsidR="00762569" w:rsidRPr="00762569" w14:paraId="5AEA865C" w14:textId="77777777" w:rsidTr="00762569">
        <w:tc>
          <w:tcPr>
            <w:tcW w:w="4788" w:type="dxa"/>
          </w:tcPr>
          <w:p w14:paraId="1C4E0384" w14:textId="1345EE9B" w:rsidR="00762569" w:rsidRPr="00762569" w:rsidRDefault="00762569" w:rsidP="00762569">
            <w:pPr>
              <w:spacing w:before="100" w:beforeAutospacing="1" w:after="100" w:afterAutospacing="1"/>
              <w:contextualSpacing/>
              <w:rPr>
                <w:rFonts w:eastAsia="Times New Roman" w:cs="Times New Roman"/>
                <w:b/>
              </w:rPr>
            </w:pPr>
            <w:r w:rsidRPr="00762569">
              <w:rPr>
                <w:rFonts w:eastAsia="Times New Roman" w:cs="Times New Roman"/>
                <w:b/>
              </w:rPr>
              <w:t>Absolute</w:t>
            </w:r>
          </w:p>
        </w:tc>
        <w:tc>
          <w:tcPr>
            <w:tcW w:w="4788" w:type="dxa"/>
          </w:tcPr>
          <w:p w14:paraId="77E9AEF9" w14:textId="110F79EF" w:rsidR="00762569" w:rsidRPr="00762569" w:rsidRDefault="00762569" w:rsidP="00762569">
            <w:pPr>
              <w:spacing w:before="100" w:beforeAutospacing="1" w:after="100" w:afterAutospacing="1"/>
              <w:contextualSpacing/>
              <w:rPr>
                <w:rFonts w:eastAsia="Times New Roman" w:cs="Times New Roman"/>
                <w:b/>
              </w:rPr>
            </w:pPr>
            <w:r w:rsidRPr="00762569">
              <w:rPr>
                <w:rFonts w:eastAsia="Times New Roman" w:cs="Times New Roman"/>
                <w:b/>
              </w:rPr>
              <w:t>Relative</w:t>
            </w:r>
          </w:p>
        </w:tc>
      </w:tr>
      <w:tr w:rsidR="00762569" w:rsidRPr="00762569" w14:paraId="20560E22" w14:textId="77777777" w:rsidTr="00762569">
        <w:tc>
          <w:tcPr>
            <w:tcW w:w="4788" w:type="dxa"/>
          </w:tcPr>
          <w:p w14:paraId="4BEE47EE" w14:textId="77777777" w:rsidR="00762569" w:rsidRPr="00762569" w:rsidRDefault="00762569" w:rsidP="00456817">
            <w:pPr>
              <w:contextualSpacing/>
              <w:rPr>
                <w:rFonts w:eastAsia="Times New Roman" w:cs="Times New Roman"/>
              </w:rPr>
            </w:pPr>
            <w:r w:rsidRPr="00762569">
              <w:rPr>
                <w:rFonts w:eastAsia="Times New Roman" w:cs="Times New Roman"/>
              </w:rPr>
              <w:t>Medical</w:t>
            </w:r>
          </w:p>
          <w:p w14:paraId="1365FBFE" w14:textId="77777777" w:rsidR="00762569" w:rsidRPr="00762569" w:rsidRDefault="00762569" w:rsidP="00456817">
            <w:pPr>
              <w:pStyle w:val="ListParagraph"/>
              <w:numPr>
                <w:ilvl w:val="0"/>
                <w:numId w:val="15"/>
              </w:numPr>
              <w:rPr>
                <w:rFonts w:eastAsia="Times New Roman" w:cs="Times New Roman"/>
                <w:sz w:val="22"/>
                <w:szCs w:val="22"/>
              </w:rPr>
            </w:pPr>
            <w:r w:rsidRPr="00762569">
              <w:rPr>
                <w:rFonts w:eastAsia="Times New Roman" w:cs="Times New Roman"/>
                <w:sz w:val="22"/>
                <w:szCs w:val="22"/>
              </w:rPr>
              <w:t>Preoperative bleeding disorder</w:t>
            </w:r>
          </w:p>
          <w:p w14:paraId="4E40EA66" w14:textId="77777777" w:rsidR="00762569" w:rsidRPr="00762569" w:rsidRDefault="00762569" w:rsidP="00456817">
            <w:pPr>
              <w:pStyle w:val="ListParagraph"/>
              <w:numPr>
                <w:ilvl w:val="0"/>
                <w:numId w:val="15"/>
              </w:numPr>
              <w:rPr>
                <w:rFonts w:eastAsia="Times New Roman" w:cs="Times New Roman"/>
                <w:sz w:val="22"/>
                <w:szCs w:val="22"/>
              </w:rPr>
            </w:pPr>
            <w:r w:rsidRPr="00762569">
              <w:rPr>
                <w:rFonts w:eastAsia="Times New Roman" w:cs="Times New Roman"/>
                <w:sz w:val="22"/>
                <w:szCs w:val="22"/>
              </w:rPr>
              <w:t>Liver cirrhosis</w:t>
            </w:r>
          </w:p>
          <w:p w14:paraId="723153A8" w14:textId="5CC004BF" w:rsidR="00762569" w:rsidRPr="00762569" w:rsidRDefault="00762569" w:rsidP="00456817">
            <w:pPr>
              <w:pStyle w:val="ListParagraph"/>
              <w:numPr>
                <w:ilvl w:val="0"/>
                <w:numId w:val="15"/>
              </w:numPr>
              <w:rPr>
                <w:rFonts w:eastAsia="Times New Roman" w:cs="Times New Roman"/>
                <w:sz w:val="22"/>
                <w:szCs w:val="22"/>
              </w:rPr>
            </w:pPr>
            <w:r w:rsidRPr="00762569">
              <w:rPr>
                <w:rFonts w:eastAsia="Times New Roman" w:cs="Times New Roman"/>
                <w:sz w:val="22"/>
                <w:szCs w:val="22"/>
              </w:rPr>
              <w:t>Renal disease &gt; stage 2</w:t>
            </w:r>
          </w:p>
        </w:tc>
        <w:tc>
          <w:tcPr>
            <w:tcW w:w="4788" w:type="dxa"/>
          </w:tcPr>
          <w:p w14:paraId="0B4E1740" w14:textId="77777777" w:rsidR="00762569" w:rsidRPr="00762569" w:rsidRDefault="00762569" w:rsidP="00456817">
            <w:pPr>
              <w:contextualSpacing/>
              <w:rPr>
                <w:rFonts w:eastAsia="Times New Roman" w:cs="Times New Roman"/>
              </w:rPr>
            </w:pPr>
            <w:r w:rsidRPr="00762569">
              <w:rPr>
                <w:rFonts w:eastAsia="Times New Roman" w:cs="Times New Roman"/>
              </w:rPr>
              <w:t>Medical</w:t>
            </w:r>
          </w:p>
          <w:p w14:paraId="1D7C0C29" w14:textId="77777777" w:rsidR="00762569" w:rsidRPr="00762569" w:rsidRDefault="00762569" w:rsidP="00456817">
            <w:pPr>
              <w:pStyle w:val="ListParagraph"/>
              <w:numPr>
                <w:ilvl w:val="0"/>
                <w:numId w:val="17"/>
              </w:numPr>
              <w:rPr>
                <w:rFonts w:eastAsia="Times New Roman" w:cs="Times New Roman"/>
                <w:sz w:val="22"/>
                <w:szCs w:val="22"/>
              </w:rPr>
            </w:pPr>
            <w:r w:rsidRPr="00762569">
              <w:rPr>
                <w:rFonts w:eastAsia="Times New Roman" w:cs="Times New Roman"/>
                <w:sz w:val="22"/>
                <w:szCs w:val="22"/>
              </w:rPr>
              <w:t>Age &gt; 80 years</w:t>
            </w:r>
          </w:p>
          <w:p w14:paraId="5791C369" w14:textId="77777777" w:rsidR="00762569" w:rsidRPr="00762569" w:rsidRDefault="00762569" w:rsidP="00456817">
            <w:pPr>
              <w:pStyle w:val="ListParagraph"/>
              <w:numPr>
                <w:ilvl w:val="0"/>
                <w:numId w:val="17"/>
              </w:numPr>
              <w:rPr>
                <w:rFonts w:eastAsia="Times New Roman" w:cs="Times New Roman"/>
                <w:sz w:val="22"/>
                <w:szCs w:val="22"/>
              </w:rPr>
            </w:pPr>
            <w:r w:rsidRPr="00762569">
              <w:rPr>
                <w:rFonts w:eastAsia="Times New Roman" w:cs="Times New Roman"/>
                <w:sz w:val="22"/>
                <w:szCs w:val="22"/>
              </w:rPr>
              <w:t>Severe obstructive sleep apnea</w:t>
            </w:r>
          </w:p>
          <w:p w14:paraId="04C31543" w14:textId="403BFDC9" w:rsidR="00762569" w:rsidRPr="00762569" w:rsidRDefault="00762569" w:rsidP="00456817">
            <w:pPr>
              <w:pStyle w:val="ListParagraph"/>
              <w:numPr>
                <w:ilvl w:val="0"/>
                <w:numId w:val="17"/>
              </w:numPr>
              <w:rPr>
                <w:rFonts w:eastAsia="Times New Roman" w:cs="Times New Roman"/>
                <w:sz w:val="22"/>
                <w:szCs w:val="22"/>
              </w:rPr>
            </w:pPr>
            <w:r w:rsidRPr="00762569">
              <w:rPr>
                <w:rFonts w:eastAsia="Times New Roman" w:cs="Times New Roman"/>
                <w:sz w:val="22"/>
                <w:szCs w:val="22"/>
              </w:rPr>
              <w:t>Current, or history of, significant cardiac disease (e.g. ischemic heart disease, CHF, prior stroke)</w:t>
            </w:r>
          </w:p>
          <w:p w14:paraId="6E710022" w14:textId="77777777" w:rsidR="00762569" w:rsidRPr="00762569" w:rsidRDefault="00762569" w:rsidP="00456817">
            <w:pPr>
              <w:pStyle w:val="ListParagraph"/>
              <w:numPr>
                <w:ilvl w:val="0"/>
                <w:numId w:val="17"/>
              </w:numPr>
              <w:rPr>
                <w:rFonts w:eastAsia="Times New Roman" w:cs="Times New Roman"/>
                <w:sz w:val="22"/>
                <w:szCs w:val="22"/>
              </w:rPr>
            </w:pPr>
            <w:r w:rsidRPr="00762569">
              <w:rPr>
                <w:rFonts w:eastAsia="Times New Roman" w:cs="Times New Roman"/>
                <w:sz w:val="22"/>
                <w:szCs w:val="22"/>
              </w:rPr>
              <w:t>Diabetes mellitus</w:t>
            </w:r>
          </w:p>
          <w:p w14:paraId="0FD36543" w14:textId="77777777" w:rsidR="00762569" w:rsidRPr="00762569" w:rsidRDefault="00762569" w:rsidP="00456817">
            <w:pPr>
              <w:pStyle w:val="ListParagraph"/>
              <w:numPr>
                <w:ilvl w:val="0"/>
                <w:numId w:val="17"/>
              </w:numPr>
              <w:rPr>
                <w:rFonts w:eastAsia="Times New Roman" w:cs="Times New Roman"/>
                <w:sz w:val="22"/>
                <w:szCs w:val="22"/>
              </w:rPr>
            </w:pPr>
            <w:r w:rsidRPr="00762569">
              <w:rPr>
                <w:rFonts w:eastAsia="Times New Roman" w:cs="Times New Roman"/>
                <w:sz w:val="22"/>
                <w:szCs w:val="22"/>
              </w:rPr>
              <w:t>Body Mass Index &gt; 35</w:t>
            </w:r>
          </w:p>
          <w:p w14:paraId="696344DF" w14:textId="6DF10E89" w:rsidR="00762569" w:rsidRPr="00762569" w:rsidRDefault="00762569" w:rsidP="00456817">
            <w:pPr>
              <w:pStyle w:val="ListParagraph"/>
              <w:numPr>
                <w:ilvl w:val="0"/>
                <w:numId w:val="17"/>
              </w:numPr>
              <w:rPr>
                <w:rFonts w:eastAsia="Times New Roman" w:cs="Times New Roman"/>
                <w:sz w:val="22"/>
                <w:szCs w:val="22"/>
              </w:rPr>
            </w:pPr>
            <w:r w:rsidRPr="00762569">
              <w:rPr>
                <w:rFonts w:eastAsia="Times New Roman" w:cs="Times New Roman"/>
                <w:sz w:val="22"/>
                <w:szCs w:val="22"/>
              </w:rPr>
              <w:t>Unilateral joint</w:t>
            </w:r>
          </w:p>
        </w:tc>
      </w:tr>
      <w:tr w:rsidR="00762569" w:rsidRPr="00762569" w14:paraId="1E9C6172" w14:textId="77777777" w:rsidTr="00762569">
        <w:tc>
          <w:tcPr>
            <w:tcW w:w="4788" w:type="dxa"/>
          </w:tcPr>
          <w:p w14:paraId="493504F9" w14:textId="77777777" w:rsidR="00762569" w:rsidRPr="00762569" w:rsidRDefault="00762569" w:rsidP="00456817">
            <w:pPr>
              <w:contextualSpacing/>
              <w:rPr>
                <w:rFonts w:eastAsia="Times New Roman" w:cs="Times New Roman"/>
              </w:rPr>
            </w:pPr>
            <w:r w:rsidRPr="00762569">
              <w:rPr>
                <w:rFonts w:eastAsia="Times New Roman" w:cs="Times New Roman"/>
              </w:rPr>
              <w:t>Social</w:t>
            </w:r>
          </w:p>
          <w:p w14:paraId="2EB38B55" w14:textId="77777777" w:rsidR="00762569" w:rsidRPr="00762569" w:rsidRDefault="00762569" w:rsidP="00456817">
            <w:pPr>
              <w:pStyle w:val="ListParagraph"/>
              <w:numPr>
                <w:ilvl w:val="0"/>
                <w:numId w:val="16"/>
              </w:numPr>
              <w:rPr>
                <w:rFonts w:eastAsia="Times New Roman" w:cs="Times New Roman"/>
                <w:sz w:val="22"/>
                <w:szCs w:val="22"/>
              </w:rPr>
            </w:pPr>
            <w:r w:rsidRPr="00762569">
              <w:rPr>
                <w:rFonts w:eastAsia="Times New Roman" w:cs="Times New Roman"/>
                <w:sz w:val="22"/>
                <w:szCs w:val="22"/>
              </w:rPr>
              <w:t>Inability to participate in preoperative counselling (i.e. lack of mental capacity)</w:t>
            </w:r>
          </w:p>
          <w:p w14:paraId="2068F024" w14:textId="4F7EC636" w:rsidR="00762569" w:rsidRPr="00762569" w:rsidRDefault="00762569" w:rsidP="00456817">
            <w:pPr>
              <w:pStyle w:val="ListParagraph"/>
              <w:numPr>
                <w:ilvl w:val="0"/>
                <w:numId w:val="16"/>
              </w:numPr>
              <w:rPr>
                <w:rFonts w:eastAsia="Times New Roman" w:cs="Times New Roman"/>
                <w:sz w:val="22"/>
                <w:szCs w:val="22"/>
              </w:rPr>
            </w:pPr>
            <w:r w:rsidRPr="00762569">
              <w:rPr>
                <w:rFonts w:eastAsia="Times New Roman" w:cs="Times New Roman"/>
                <w:sz w:val="22"/>
                <w:szCs w:val="22"/>
              </w:rPr>
              <w:t>Lack of support system/availability post-discharge home</w:t>
            </w:r>
          </w:p>
        </w:tc>
        <w:tc>
          <w:tcPr>
            <w:tcW w:w="4788" w:type="dxa"/>
          </w:tcPr>
          <w:p w14:paraId="03EECB59" w14:textId="77777777" w:rsidR="00762569" w:rsidRPr="00762569" w:rsidRDefault="00762569" w:rsidP="00456817">
            <w:pPr>
              <w:contextualSpacing/>
              <w:rPr>
                <w:rFonts w:eastAsia="Times New Roman" w:cs="Times New Roman"/>
              </w:rPr>
            </w:pPr>
            <w:r w:rsidRPr="00762569">
              <w:rPr>
                <w:rFonts w:eastAsia="Times New Roman" w:cs="Times New Roman"/>
              </w:rPr>
              <w:t>Social</w:t>
            </w:r>
          </w:p>
          <w:p w14:paraId="74D15AFC" w14:textId="78D994BD" w:rsidR="00762569" w:rsidRPr="00762569" w:rsidRDefault="00762569" w:rsidP="00456817">
            <w:pPr>
              <w:pStyle w:val="ListParagraph"/>
              <w:numPr>
                <w:ilvl w:val="0"/>
                <w:numId w:val="18"/>
              </w:numPr>
              <w:rPr>
                <w:rFonts w:eastAsia="Times New Roman" w:cs="Times New Roman"/>
                <w:sz w:val="22"/>
                <w:szCs w:val="22"/>
              </w:rPr>
            </w:pPr>
            <w:r w:rsidRPr="00762569">
              <w:rPr>
                <w:rFonts w:eastAsia="Times New Roman" w:cs="Times New Roman"/>
                <w:sz w:val="22"/>
                <w:szCs w:val="22"/>
              </w:rPr>
              <w:t>Lack of social support system</w:t>
            </w:r>
          </w:p>
        </w:tc>
      </w:tr>
      <w:tr w:rsidR="00762569" w:rsidRPr="00762569" w14:paraId="3AB0A18D" w14:textId="77777777" w:rsidTr="00762569">
        <w:tc>
          <w:tcPr>
            <w:tcW w:w="4788" w:type="dxa"/>
          </w:tcPr>
          <w:p w14:paraId="70531B77" w14:textId="77777777" w:rsidR="00762569" w:rsidRPr="00762569" w:rsidRDefault="00762569" w:rsidP="00762569">
            <w:pPr>
              <w:spacing w:before="100" w:beforeAutospacing="1" w:after="100" w:afterAutospacing="1"/>
              <w:contextualSpacing/>
              <w:rPr>
                <w:rFonts w:eastAsia="Times New Roman" w:cs="Times New Roman"/>
              </w:rPr>
            </w:pPr>
          </w:p>
        </w:tc>
        <w:tc>
          <w:tcPr>
            <w:tcW w:w="4788" w:type="dxa"/>
          </w:tcPr>
          <w:p w14:paraId="4F432474" w14:textId="77777777" w:rsidR="00762569" w:rsidRPr="00762569" w:rsidRDefault="00762569" w:rsidP="00456817">
            <w:pPr>
              <w:contextualSpacing/>
              <w:rPr>
                <w:rFonts w:eastAsia="Times New Roman" w:cs="Times New Roman"/>
              </w:rPr>
            </w:pPr>
            <w:r w:rsidRPr="00762569">
              <w:rPr>
                <w:rFonts w:eastAsia="Times New Roman" w:cs="Times New Roman"/>
              </w:rPr>
              <w:t>Physical</w:t>
            </w:r>
          </w:p>
          <w:p w14:paraId="234E3D9F" w14:textId="77777777" w:rsidR="00762569" w:rsidRPr="00762569" w:rsidRDefault="00762569" w:rsidP="00456817">
            <w:pPr>
              <w:pStyle w:val="ListParagraph"/>
              <w:numPr>
                <w:ilvl w:val="0"/>
                <w:numId w:val="18"/>
              </w:numPr>
              <w:rPr>
                <w:rFonts w:eastAsia="Times New Roman" w:cs="Times New Roman"/>
                <w:sz w:val="22"/>
                <w:szCs w:val="22"/>
              </w:rPr>
            </w:pPr>
            <w:r w:rsidRPr="00762569">
              <w:rPr>
                <w:rFonts w:eastAsia="Times New Roman" w:cs="Times New Roman"/>
                <w:sz w:val="22"/>
                <w:szCs w:val="22"/>
              </w:rPr>
              <w:t>Timed Up and Go Test &gt;10 seconds</w:t>
            </w:r>
          </w:p>
          <w:p w14:paraId="3F51A841" w14:textId="769E62BE" w:rsidR="00762569" w:rsidRPr="00762569" w:rsidRDefault="00762569" w:rsidP="00456817">
            <w:pPr>
              <w:pStyle w:val="ListParagraph"/>
              <w:numPr>
                <w:ilvl w:val="0"/>
                <w:numId w:val="18"/>
              </w:numPr>
              <w:rPr>
                <w:rFonts w:eastAsia="Times New Roman" w:cs="Times New Roman"/>
                <w:sz w:val="22"/>
                <w:szCs w:val="22"/>
              </w:rPr>
            </w:pPr>
            <w:r w:rsidRPr="00762569">
              <w:rPr>
                <w:rFonts w:eastAsia="Times New Roman" w:cs="Times New Roman"/>
                <w:sz w:val="22"/>
                <w:szCs w:val="22"/>
              </w:rPr>
              <w:t>Mobilizing and performing ADLs independently</w:t>
            </w:r>
          </w:p>
        </w:tc>
      </w:tr>
    </w:tbl>
    <w:p w14:paraId="00AFE914" w14:textId="77777777" w:rsidR="00762569" w:rsidRDefault="00762569" w:rsidP="00762569">
      <w:pPr>
        <w:spacing w:before="100" w:beforeAutospacing="1" w:after="100" w:afterAutospacing="1" w:line="240" w:lineRule="auto"/>
        <w:contextualSpacing/>
        <w:rPr>
          <w:rFonts w:eastAsia="Times New Roman" w:cs="Times New Roman"/>
        </w:rPr>
      </w:pPr>
    </w:p>
    <w:p w14:paraId="6CFA6C21" w14:textId="052C8C28" w:rsidR="00762569" w:rsidRDefault="004B7F17" w:rsidP="004B7F17">
      <w:pPr>
        <w:spacing w:before="100" w:beforeAutospacing="1" w:after="100" w:afterAutospacing="1" w:line="240" w:lineRule="auto"/>
        <w:contextualSpacing/>
        <w:jc w:val="right"/>
        <w:rPr>
          <w:rFonts w:eastAsia="Times New Roman" w:cs="Times New Roman"/>
        </w:rPr>
      </w:pPr>
      <w:r w:rsidRPr="00762569">
        <w:rPr>
          <w:i/>
        </w:rPr>
        <w:t>Adapted from Bodrogi, Dervin, and Beaule (2020</w:t>
      </w:r>
      <w:r>
        <w:rPr>
          <w:i/>
        </w:rPr>
        <w:t>)</w:t>
      </w:r>
    </w:p>
    <w:p w14:paraId="465FEF0A" w14:textId="2774B5E2" w:rsidR="000E4826" w:rsidRPr="00762569" w:rsidRDefault="00762569" w:rsidP="00214E75">
      <w:pPr>
        <w:pStyle w:val="ListParagraph"/>
        <w:numPr>
          <w:ilvl w:val="0"/>
          <w:numId w:val="3"/>
        </w:numPr>
        <w:spacing w:before="100" w:beforeAutospacing="1" w:after="100" w:afterAutospacing="1"/>
        <w:rPr>
          <w:rFonts w:eastAsia="Times New Roman" w:cs="Times New Roman"/>
          <w:bCs/>
          <w:sz w:val="22"/>
          <w:szCs w:val="22"/>
        </w:rPr>
      </w:pPr>
      <w:r w:rsidRPr="00762569">
        <w:rPr>
          <w:rFonts w:eastAsia="Times New Roman" w:cs="Times New Roman"/>
          <w:bCs/>
          <w:sz w:val="22"/>
          <w:szCs w:val="22"/>
        </w:rPr>
        <w:t>Patients should be</w:t>
      </w:r>
      <w:r w:rsidR="000E4826" w:rsidRPr="00762569">
        <w:rPr>
          <w:rFonts w:eastAsia="Times New Roman" w:cs="Times New Roman"/>
          <w:bCs/>
          <w:sz w:val="22"/>
          <w:szCs w:val="22"/>
        </w:rPr>
        <w:t xml:space="preserve"> </w:t>
      </w:r>
      <w:r w:rsidRPr="00762569">
        <w:rPr>
          <w:rFonts w:eastAsia="Times New Roman" w:cs="Times New Roman"/>
          <w:bCs/>
          <w:sz w:val="22"/>
          <w:szCs w:val="22"/>
        </w:rPr>
        <w:t>highly motivated to go home</w:t>
      </w:r>
    </w:p>
    <w:p w14:paraId="387E639B" w14:textId="7081DA21" w:rsidR="00211337" w:rsidRDefault="00762569" w:rsidP="00214E75">
      <w:pPr>
        <w:pStyle w:val="ListParagraph"/>
        <w:numPr>
          <w:ilvl w:val="0"/>
          <w:numId w:val="3"/>
        </w:numPr>
        <w:spacing w:before="100" w:beforeAutospacing="1" w:after="100" w:afterAutospacing="1"/>
        <w:rPr>
          <w:rFonts w:eastAsia="Times New Roman" w:cs="Times New Roman"/>
          <w:bCs/>
          <w:sz w:val="22"/>
          <w:szCs w:val="22"/>
        </w:rPr>
      </w:pPr>
      <w:r>
        <w:rPr>
          <w:rFonts w:eastAsia="Times New Roman" w:cs="Times New Roman"/>
          <w:bCs/>
          <w:sz w:val="22"/>
          <w:szCs w:val="22"/>
        </w:rPr>
        <w:t>P</w:t>
      </w:r>
      <w:r w:rsidR="00211337">
        <w:rPr>
          <w:rFonts w:eastAsia="Times New Roman" w:cs="Times New Roman"/>
          <w:bCs/>
          <w:sz w:val="22"/>
          <w:szCs w:val="22"/>
        </w:rPr>
        <w:t>atients may still be deemed eligible at the discretion of the surgeon and/or health care team</w:t>
      </w:r>
      <w:r w:rsidR="00F5708C">
        <w:rPr>
          <w:rFonts w:eastAsia="Times New Roman" w:cs="Times New Roman"/>
          <w:bCs/>
          <w:sz w:val="22"/>
          <w:szCs w:val="22"/>
        </w:rPr>
        <w:t>.</w:t>
      </w:r>
    </w:p>
    <w:p w14:paraId="1AE560BE" w14:textId="77777777" w:rsidR="00456817" w:rsidRDefault="00456817">
      <w:pPr>
        <w:rPr>
          <w:rFonts w:eastAsia="Times New Roman" w:cs="Times New Roman"/>
          <w:b/>
          <w:bCs/>
        </w:rPr>
      </w:pPr>
      <w:r>
        <w:rPr>
          <w:rFonts w:eastAsia="Times New Roman" w:cs="Times New Roman"/>
          <w:b/>
          <w:bCs/>
        </w:rPr>
        <w:br w:type="page"/>
      </w:r>
    </w:p>
    <w:p w14:paraId="696220DB" w14:textId="79A3C5BA" w:rsidR="000E4826" w:rsidRPr="000E4826" w:rsidRDefault="000E4826" w:rsidP="00214E75">
      <w:pPr>
        <w:spacing w:before="100" w:beforeAutospacing="1" w:after="100" w:afterAutospacing="1" w:line="240" w:lineRule="auto"/>
        <w:contextualSpacing/>
        <w:rPr>
          <w:rFonts w:eastAsia="Times New Roman" w:cs="Times New Roman"/>
          <w:b/>
          <w:bCs/>
        </w:rPr>
      </w:pPr>
      <w:r w:rsidRPr="000E4826">
        <w:rPr>
          <w:rFonts w:eastAsia="Times New Roman" w:cs="Times New Roman"/>
          <w:b/>
          <w:bCs/>
        </w:rPr>
        <w:lastRenderedPageBreak/>
        <w:t>Institutional factors:</w:t>
      </w:r>
    </w:p>
    <w:p w14:paraId="749363AC" w14:textId="7F0A32F4" w:rsidR="000E4826" w:rsidRPr="000E4826" w:rsidRDefault="000E4826" w:rsidP="00214E75">
      <w:pPr>
        <w:pStyle w:val="ListParagraph"/>
        <w:numPr>
          <w:ilvl w:val="0"/>
          <w:numId w:val="2"/>
        </w:numPr>
        <w:rPr>
          <w:sz w:val="22"/>
          <w:szCs w:val="22"/>
        </w:rPr>
      </w:pPr>
      <w:r w:rsidRPr="000E4826">
        <w:rPr>
          <w:i/>
          <w:iCs/>
          <w:sz w:val="22"/>
          <w:szCs w:val="22"/>
          <w:bdr w:val="none" w:sz="0" w:space="0" w:color="auto" w:frame="1"/>
        </w:rPr>
        <w:t>Preoperative education</w:t>
      </w:r>
      <w:r w:rsidRPr="000E4826">
        <w:rPr>
          <w:sz w:val="22"/>
          <w:szCs w:val="22"/>
        </w:rPr>
        <w:t>: Education may involve input from internal medicine, anesthesiology, nursing, and physiotherapy.</w:t>
      </w:r>
    </w:p>
    <w:p w14:paraId="5563AFD3" w14:textId="77777777" w:rsidR="000E4826" w:rsidRPr="000E4826" w:rsidRDefault="000E4826" w:rsidP="00214E75">
      <w:pPr>
        <w:pStyle w:val="ListParagraph"/>
        <w:numPr>
          <w:ilvl w:val="0"/>
          <w:numId w:val="2"/>
        </w:numPr>
        <w:rPr>
          <w:sz w:val="22"/>
          <w:szCs w:val="22"/>
        </w:rPr>
      </w:pPr>
      <w:r w:rsidRPr="000E4826">
        <w:rPr>
          <w:i/>
          <w:iCs/>
          <w:sz w:val="22"/>
          <w:szCs w:val="22"/>
          <w:bdr w:val="none" w:sz="0" w:space="0" w:color="auto" w:frame="1"/>
        </w:rPr>
        <w:t>Perioperative pain management and anesthesia techniques</w:t>
      </w:r>
      <w:r w:rsidRPr="000E4826">
        <w:rPr>
          <w:sz w:val="22"/>
          <w:szCs w:val="22"/>
        </w:rPr>
        <w:t>: This includes multimodal and preventive analgesia (potentially including preoperative medications), combinations of general and regional anesthesia, and the minimal use of narcotics. In particular, effective management of post-operative pain requires that there are no gaps in, or periods of, inadequate pain control.</w:t>
      </w:r>
    </w:p>
    <w:p w14:paraId="6C5D12AF" w14:textId="3C651AEB" w:rsidR="000E4826" w:rsidRPr="000E4826" w:rsidRDefault="000E4826" w:rsidP="00214E75">
      <w:pPr>
        <w:pStyle w:val="ListParagraph"/>
        <w:numPr>
          <w:ilvl w:val="0"/>
          <w:numId w:val="2"/>
        </w:numPr>
        <w:rPr>
          <w:sz w:val="22"/>
          <w:szCs w:val="22"/>
        </w:rPr>
      </w:pPr>
      <w:r w:rsidRPr="000E4826">
        <w:rPr>
          <w:i/>
          <w:iCs/>
          <w:sz w:val="22"/>
          <w:szCs w:val="22"/>
          <w:bdr w:val="none" w:sz="0" w:space="0" w:color="auto" w:frame="1"/>
        </w:rPr>
        <w:t>Strict discharge criteria</w:t>
      </w:r>
      <w:r w:rsidRPr="000E4826">
        <w:rPr>
          <w:sz w:val="22"/>
          <w:szCs w:val="22"/>
        </w:rPr>
        <w:t xml:space="preserve">: An assessment of discharge </w:t>
      </w:r>
      <w:r w:rsidR="007C779F">
        <w:rPr>
          <w:sz w:val="22"/>
          <w:szCs w:val="22"/>
        </w:rPr>
        <w:t>readiness after an outpatient TJ</w:t>
      </w:r>
      <w:r w:rsidRPr="000E4826">
        <w:rPr>
          <w:sz w:val="22"/>
          <w:szCs w:val="22"/>
        </w:rPr>
        <w:t>A must include factors such as medical, functional, and wound status, while also ensuring that the regular standard-of-care discharge criteria of an institution are not compromised.</w:t>
      </w:r>
    </w:p>
    <w:p w14:paraId="49A2A608" w14:textId="466808EE" w:rsidR="000E4826" w:rsidRDefault="000E4826" w:rsidP="00214E75">
      <w:pPr>
        <w:pStyle w:val="ListParagraph"/>
        <w:numPr>
          <w:ilvl w:val="0"/>
          <w:numId w:val="2"/>
        </w:numPr>
        <w:rPr>
          <w:sz w:val="22"/>
          <w:szCs w:val="22"/>
        </w:rPr>
      </w:pPr>
      <w:r w:rsidRPr="000E4826">
        <w:rPr>
          <w:i/>
          <w:iCs/>
          <w:sz w:val="22"/>
          <w:szCs w:val="22"/>
          <w:bdr w:val="none" w:sz="0" w:space="0" w:color="auto" w:frame="1"/>
        </w:rPr>
        <w:t>A multidisciplinary approach to post-operative management</w:t>
      </w:r>
      <w:r w:rsidRPr="000E4826">
        <w:rPr>
          <w:sz w:val="22"/>
          <w:szCs w:val="22"/>
        </w:rPr>
        <w:t>: The focus is on avoiding the use of tubes and catheters, and providing deep vein thrombo</w:t>
      </w:r>
      <w:r w:rsidR="00E22161">
        <w:rPr>
          <w:sz w:val="22"/>
          <w:szCs w:val="22"/>
        </w:rPr>
        <w:t>embolism</w:t>
      </w:r>
      <w:r w:rsidRPr="000E4826">
        <w:rPr>
          <w:sz w:val="22"/>
          <w:szCs w:val="22"/>
        </w:rPr>
        <w:t xml:space="preserve"> prophylaxis, early feeding, and intensive physiotherapy for rapid mobilization.</w:t>
      </w:r>
    </w:p>
    <w:p w14:paraId="7FC84E74" w14:textId="77777777" w:rsidR="001D72D8" w:rsidRDefault="001D72D8" w:rsidP="00214E75">
      <w:pPr>
        <w:spacing w:line="240" w:lineRule="auto"/>
        <w:contextualSpacing/>
      </w:pPr>
    </w:p>
    <w:p w14:paraId="4276B845" w14:textId="77777777" w:rsidR="001D72D8" w:rsidRPr="001D72D8" w:rsidRDefault="001D72D8" w:rsidP="00214E75">
      <w:pPr>
        <w:spacing w:before="100" w:beforeAutospacing="1" w:after="100" w:afterAutospacing="1" w:line="240" w:lineRule="auto"/>
        <w:contextualSpacing/>
        <w:rPr>
          <w:rFonts w:eastAsia="Times New Roman" w:cs="Times New Roman"/>
          <w:b/>
          <w:bCs/>
        </w:rPr>
      </w:pPr>
      <w:r w:rsidRPr="001D72D8">
        <w:rPr>
          <w:rFonts w:eastAsia="Times New Roman" w:cs="Times New Roman"/>
          <w:b/>
          <w:bCs/>
        </w:rPr>
        <w:t>Key processes:</w:t>
      </w:r>
    </w:p>
    <w:p w14:paraId="7E8B97D1" w14:textId="312F2B9E" w:rsidR="001D72D8" w:rsidRPr="00B70353" w:rsidRDefault="001D72D8" w:rsidP="00B70353">
      <w:pPr>
        <w:pStyle w:val="ListParagraph"/>
        <w:numPr>
          <w:ilvl w:val="0"/>
          <w:numId w:val="4"/>
        </w:numPr>
        <w:spacing w:before="100" w:beforeAutospacing="1" w:after="100" w:afterAutospacing="1"/>
        <w:rPr>
          <w:rFonts w:eastAsia="Times New Roman" w:cs="Times New Roman"/>
          <w:sz w:val="22"/>
          <w:szCs w:val="22"/>
        </w:rPr>
      </w:pPr>
      <w:r w:rsidRPr="001D72D8">
        <w:rPr>
          <w:rFonts w:eastAsia="Times New Roman" w:cs="Times New Roman"/>
          <w:bCs/>
          <w:sz w:val="22"/>
          <w:szCs w:val="22"/>
        </w:rPr>
        <w:t>The surgeon, patient and “</w:t>
      </w:r>
      <w:r w:rsidR="00B70353">
        <w:rPr>
          <w:rFonts w:eastAsia="Times New Roman" w:cs="Times New Roman"/>
          <w:bCs/>
          <w:sz w:val="22"/>
          <w:szCs w:val="22"/>
        </w:rPr>
        <w:t>support person</w:t>
      </w:r>
      <w:r w:rsidRPr="001D72D8">
        <w:rPr>
          <w:rFonts w:eastAsia="Times New Roman" w:cs="Times New Roman"/>
          <w:bCs/>
          <w:sz w:val="22"/>
          <w:szCs w:val="22"/>
        </w:rPr>
        <w:t xml:space="preserve">” agree to an Outpatient Total Joint experience. </w:t>
      </w:r>
      <w:r w:rsidRPr="00B70353">
        <w:rPr>
          <w:rFonts w:eastAsia="Times New Roman" w:cs="Times New Roman"/>
          <w:bCs/>
          <w:sz w:val="22"/>
          <w:szCs w:val="22"/>
        </w:rPr>
        <w:t>A “</w:t>
      </w:r>
      <w:r w:rsidR="00B70353">
        <w:rPr>
          <w:rFonts w:eastAsia="Times New Roman" w:cs="Times New Roman"/>
          <w:bCs/>
          <w:sz w:val="22"/>
          <w:szCs w:val="22"/>
        </w:rPr>
        <w:t>support person</w:t>
      </w:r>
      <w:r w:rsidRPr="00B70353">
        <w:rPr>
          <w:rFonts w:eastAsia="Times New Roman" w:cs="Times New Roman"/>
          <w:bCs/>
          <w:sz w:val="22"/>
          <w:szCs w:val="22"/>
        </w:rPr>
        <w:t>” is typically a family member, significant other or friend. This person agrees to the expectations to support the patient for predetermined touchpoints</w:t>
      </w:r>
      <w:r w:rsidR="00B70353">
        <w:rPr>
          <w:rFonts w:eastAsia="Times New Roman" w:cs="Times New Roman"/>
          <w:bCs/>
          <w:sz w:val="22"/>
          <w:szCs w:val="22"/>
        </w:rPr>
        <w:t xml:space="preserve"> (i.e.</w:t>
      </w:r>
      <w:r w:rsidRPr="00B70353">
        <w:rPr>
          <w:rFonts w:eastAsia="Times New Roman" w:cs="Times New Roman"/>
          <w:bCs/>
          <w:sz w:val="22"/>
          <w:szCs w:val="22"/>
        </w:rPr>
        <w:t xml:space="preserve"> pre/during/and post hospital stay). </w:t>
      </w:r>
    </w:p>
    <w:p w14:paraId="4C4C18E6" w14:textId="7815F99A" w:rsidR="001D72D8" w:rsidRPr="001D72D8" w:rsidRDefault="001D72D8" w:rsidP="00214E75">
      <w:pPr>
        <w:pStyle w:val="ListParagraph"/>
        <w:numPr>
          <w:ilvl w:val="0"/>
          <w:numId w:val="4"/>
        </w:numPr>
        <w:spacing w:before="100" w:beforeAutospacing="1" w:after="100" w:afterAutospacing="1"/>
        <w:rPr>
          <w:rFonts w:eastAsia="Times New Roman" w:cs="Times New Roman"/>
          <w:sz w:val="22"/>
          <w:szCs w:val="22"/>
        </w:rPr>
      </w:pPr>
      <w:r w:rsidRPr="001D72D8">
        <w:rPr>
          <w:rFonts w:eastAsia="Times New Roman" w:cs="Times New Roman"/>
          <w:bCs/>
          <w:sz w:val="22"/>
          <w:szCs w:val="22"/>
        </w:rPr>
        <w:t xml:space="preserve">The patient </w:t>
      </w:r>
      <w:r w:rsidRPr="00A25F90">
        <w:rPr>
          <w:rFonts w:eastAsia="Times New Roman" w:cs="Times New Roman"/>
          <w:bCs/>
          <w:sz w:val="22"/>
          <w:szCs w:val="22"/>
        </w:rPr>
        <w:t xml:space="preserve">will </w:t>
      </w:r>
      <w:r w:rsidR="00393F64">
        <w:rPr>
          <w:rFonts w:eastAsia="Times New Roman" w:cs="Times New Roman"/>
          <w:bCs/>
          <w:sz w:val="22"/>
          <w:szCs w:val="22"/>
        </w:rPr>
        <w:t>be instructed to watch the educational videos on the MSH website</w:t>
      </w:r>
      <w:r>
        <w:rPr>
          <w:rFonts w:eastAsia="Times New Roman" w:cs="Times New Roman"/>
          <w:bCs/>
          <w:sz w:val="22"/>
          <w:szCs w:val="22"/>
        </w:rPr>
        <w:t xml:space="preserve">, but </w:t>
      </w:r>
      <w:r w:rsidRPr="001D72D8">
        <w:rPr>
          <w:rFonts w:eastAsia="Times New Roman" w:cs="Times New Roman"/>
          <w:bCs/>
          <w:sz w:val="22"/>
          <w:szCs w:val="22"/>
        </w:rPr>
        <w:t>will</w:t>
      </w:r>
      <w:r>
        <w:rPr>
          <w:rFonts w:eastAsia="Times New Roman" w:cs="Times New Roman"/>
          <w:bCs/>
          <w:sz w:val="22"/>
          <w:szCs w:val="22"/>
        </w:rPr>
        <w:t xml:space="preserve"> also</w:t>
      </w:r>
      <w:r w:rsidRPr="001D72D8">
        <w:rPr>
          <w:rFonts w:eastAsia="Times New Roman" w:cs="Times New Roman"/>
          <w:bCs/>
          <w:sz w:val="22"/>
          <w:szCs w:val="22"/>
        </w:rPr>
        <w:t xml:space="preserve"> receive specific educational information that will provide an overview of their anticipated experiences including how to</w:t>
      </w:r>
      <w:r w:rsidR="00B50C98">
        <w:rPr>
          <w:rFonts w:eastAsia="Times New Roman" w:cs="Times New Roman"/>
          <w:bCs/>
          <w:sz w:val="22"/>
          <w:szCs w:val="22"/>
        </w:rPr>
        <w:t xml:space="preserve"> prepare for a same day discharge</w:t>
      </w:r>
      <w:r w:rsidRPr="001D72D8">
        <w:rPr>
          <w:rFonts w:eastAsia="Times New Roman" w:cs="Times New Roman"/>
          <w:bCs/>
          <w:sz w:val="22"/>
          <w:szCs w:val="22"/>
        </w:rPr>
        <w:t xml:space="preserve">. </w:t>
      </w:r>
    </w:p>
    <w:p w14:paraId="1E63FFA8" w14:textId="72DD6252" w:rsidR="001D72D8" w:rsidRPr="00994940" w:rsidRDefault="001D72D8" w:rsidP="00214E75">
      <w:pPr>
        <w:numPr>
          <w:ilvl w:val="0"/>
          <w:numId w:val="4"/>
        </w:numPr>
        <w:spacing w:before="100" w:beforeAutospacing="1" w:after="100" w:afterAutospacing="1" w:line="240" w:lineRule="auto"/>
        <w:contextualSpacing/>
        <w:rPr>
          <w:rFonts w:eastAsia="Times New Roman" w:cs="Times New Roman"/>
        </w:rPr>
      </w:pPr>
      <w:r w:rsidRPr="001D72D8">
        <w:rPr>
          <w:rFonts w:eastAsia="Times New Roman" w:cs="Times New Roman"/>
          <w:bCs/>
        </w:rPr>
        <w:t xml:space="preserve">Patients will be scheduled, at minimum, two weeks in advance and will be the first </w:t>
      </w:r>
      <w:r w:rsidR="00B50C98">
        <w:rPr>
          <w:rFonts w:eastAsia="Times New Roman" w:cs="Times New Roman"/>
          <w:bCs/>
        </w:rPr>
        <w:t>and/</w:t>
      </w:r>
      <w:r w:rsidRPr="001D72D8">
        <w:rPr>
          <w:rFonts w:eastAsia="Times New Roman" w:cs="Times New Roman"/>
          <w:bCs/>
        </w:rPr>
        <w:t xml:space="preserve">or second case of the day. </w:t>
      </w:r>
    </w:p>
    <w:p w14:paraId="3211D9BA" w14:textId="68AA133C" w:rsidR="00994940" w:rsidRPr="001D72D8" w:rsidRDefault="00994940" w:rsidP="00214E75">
      <w:pPr>
        <w:numPr>
          <w:ilvl w:val="0"/>
          <w:numId w:val="4"/>
        </w:numPr>
        <w:spacing w:before="100" w:beforeAutospacing="1" w:after="100" w:afterAutospacing="1" w:line="240" w:lineRule="auto"/>
        <w:contextualSpacing/>
        <w:rPr>
          <w:rFonts w:eastAsia="Times New Roman" w:cs="Times New Roman"/>
        </w:rPr>
      </w:pPr>
      <w:r>
        <w:rPr>
          <w:rFonts w:eastAsia="Times New Roman" w:cs="Times New Roman"/>
          <w:bCs/>
        </w:rPr>
        <w:t xml:space="preserve">There will be a maximum of 2 </w:t>
      </w:r>
      <w:r w:rsidR="00F5708C">
        <w:rPr>
          <w:rFonts w:eastAsia="Times New Roman" w:cs="Times New Roman"/>
          <w:bCs/>
        </w:rPr>
        <w:t>same day discharges per surgeon per room</w:t>
      </w:r>
      <w:r>
        <w:rPr>
          <w:rFonts w:eastAsia="Times New Roman" w:cs="Times New Roman"/>
          <w:bCs/>
        </w:rPr>
        <w:t>.</w:t>
      </w:r>
    </w:p>
    <w:p w14:paraId="6A0C9B27" w14:textId="77777777" w:rsidR="00994940" w:rsidRPr="00377ADD" w:rsidRDefault="00994940" w:rsidP="00994940">
      <w:pPr>
        <w:pStyle w:val="ListParagraph"/>
        <w:numPr>
          <w:ilvl w:val="0"/>
          <w:numId w:val="4"/>
        </w:numPr>
        <w:spacing w:before="100" w:beforeAutospacing="1" w:after="100" w:afterAutospacing="1"/>
        <w:rPr>
          <w:rFonts w:eastAsia="Times New Roman" w:cs="Times New Roman"/>
          <w:sz w:val="22"/>
          <w:szCs w:val="22"/>
        </w:rPr>
      </w:pPr>
      <w:r>
        <w:rPr>
          <w:rFonts w:eastAsia="Times New Roman" w:cs="Times New Roman"/>
          <w:bCs/>
          <w:sz w:val="22"/>
          <w:szCs w:val="22"/>
        </w:rPr>
        <w:t>Patients will have met criteria as outlined above as determined by the surgeon.</w:t>
      </w:r>
    </w:p>
    <w:p w14:paraId="62F69849" w14:textId="51D07609" w:rsidR="00AD4F6C" w:rsidRPr="00994940" w:rsidRDefault="004C6326" w:rsidP="00994940">
      <w:pPr>
        <w:numPr>
          <w:ilvl w:val="0"/>
          <w:numId w:val="4"/>
        </w:numPr>
        <w:spacing w:before="100" w:beforeAutospacing="1" w:after="100" w:afterAutospacing="1" w:line="240" w:lineRule="auto"/>
        <w:contextualSpacing/>
        <w:rPr>
          <w:rFonts w:eastAsia="Times New Roman" w:cs="Times New Roman"/>
        </w:rPr>
      </w:pPr>
      <w:r>
        <w:rPr>
          <w:rFonts w:eastAsia="Times New Roman" w:cs="Times New Roman"/>
          <w:bCs/>
        </w:rPr>
        <w:t>K</w:t>
      </w:r>
      <w:r w:rsidR="001D72D8" w:rsidRPr="001D72D8">
        <w:rPr>
          <w:rFonts w:eastAsia="Times New Roman" w:cs="Times New Roman"/>
          <w:bCs/>
        </w:rPr>
        <w:t xml:space="preserve">ey members of the team will be identified in the care of the patients. Starting at the SAC appointment, admission team, surgical team, PACU team, Day surgery team, orthopaedic </w:t>
      </w:r>
      <w:r>
        <w:rPr>
          <w:rFonts w:eastAsia="Times New Roman" w:cs="Times New Roman"/>
          <w:bCs/>
        </w:rPr>
        <w:t xml:space="preserve">patient </w:t>
      </w:r>
      <w:r w:rsidR="001D72D8" w:rsidRPr="001D72D8">
        <w:rPr>
          <w:rFonts w:eastAsia="Times New Roman" w:cs="Times New Roman"/>
          <w:bCs/>
        </w:rPr>
        <w:t>navigator</w:t>
      </w:r>
      <w:r w:rsidR="00E22161">
        <w:rPr>
          <w:rFonts w:eastAsia="Times New Roman" w:cs="Times New Roman"/>
          <w:bCs/>
        </w:rPr>
        <w:t>,</w:t>
      </w:r>
      <w:r w:rsidR="001D72D8" w:rsidRPr="001D72D8">
        <w:rPr>
          <w:rFonts w:eastAsia="Times New Roman" w:cs="Times New Roman"/>
          <w:bCs/>
        </w:rPr>
        <w:t xml:space="preserve"> </w:t>
      </w:r>
      <w:r w:rsidR="00E22161">
        <w:rPr>
          <w:rFonts w:eastAsia="Times New Roman" w:cs="Times New Roman"/>
          <w:bCs/>
        </w:rPr>
        <w:t>P</w:t>
      </w:r>
      <w:r w:rsidR="001D72D8" w:rsidRPr="001D72D8">
        <w:rPr>
          <w:rFonts w:eastAsia="Times New Roman" w:cs="Times New Roman"/>
          <w:bCs/>
        </w:rPr>
        <w:t>hysiotherap</w:t>
      </w:r>
      <w:r w:rsidR="00E22161">
        <w:rPr>
          <w:rFonts w:eastAsia="Times New Roman" w:cs="Times New Roman"/>
          <w:bCs/>
        </w:rPr>
        <w:t>ist, and Pharmacist</w:t>
      </w:r>
      <w:r w:rsidR="001D72D8" w:rsidRPr="001D72D8">
        <w:rPr>
          <w:rFonts w:eastAsia="Times New Roman" w:cs="Times New Roman"/>
          <w:bCs/>
        </w:rPr>
        <w:t>.</w:t>
      </w:r>
    </w:p>
    <w:p w14:paraId="293D1F0F" w14:textId="5FE3D736" w:rsidR="00AD4F6C" w:rsidRPr="0068353A" w:rsidRDefault="004C6326" w:rsidP="00214E75">
      <w:pPr>
        <w:numPr>
          <w:ilvl w:val="0"/>
          <w:numId w:val="4"/>
        </w:numPr>
        <w:spacing w:before="100" w:beforeAutospacing="1" w:after="100" w:afterAutospacing="1" w:line="240" w:lineRule="auto"/>
        <w:contextualSpacing/>
        <w:rPr>
          <w:rFonts w:eastAsia="Times New Roman" w:cs="Times New Roman"/>
        </w:rPr>
      </w:pPr>
      <w:r>
        <w:rPr>
          <w:rFonts w:eastAsia="Times New Roman" w:cs="Times New Roman"/>
          <w:bCs/>
        </w:rPr>
        <w:t xml:space="preserve">In some instances, the Orthopaedic Patient </w:t>
      </w:r>
      <w:r w:rsidR="00AD4F6C">
        <w:rPr>
          <w:rFonts w:eastAsia="Times New Roman" w:cs="Times New Roman"/>
          <w:bCs/>
        </w:rPr>
        <w:t>Navigator may convert patients (from admitted to day surgery) should they meet the identified criteria and patient consents to being discharged the same day</w:t>
      </w:r>
      <w:r>
        <w:rPr>
          <w:rFonts w:eastAsia="Times New Roman" w:cs="Times New Roman"/>
          <w:bCs/>
        </w:rPr>
        <w:t xml:space="preserve"> of surgery.</w:t>
      </w:r>
    </w:p>
    <w:p w14:paraId="6FFE52DD" w14:textId="77777777" w:rsidR="0068353A" w:rsidRPr="0068353A" w:rsidRDefault="0068353A" w:rsidP="00214E75">
      <w:pPr>
        <w:numPr>
          <w:ilvl w:val="0"/>
          <w:numId w:val="4"/>
        </w:numPr>
        <w:spacing w:before="100" w:beforeAutospacing="1" w:after="100" w:afterAutospacing="1" w:line="240" w:lineRule="auto"/>
        <w:contextualSpacing/>
        <w:rPr>
          <w:rFonts w:eastAsia="Times New Roman" w:cs="Times New Roman"/>
        </w:rPr>
      </w:pPr>
      <w:r>
        <w:rPr>
          <w:rFonts w:eastAsia="Times New Roman" w:cs="Times New Roman"/>
          <w:bCs/>
        </w:rPr>
        <w:t>The anaesthesiologist team will design a protocol for outpatient joint replacement patients. This should include:</w:t>
      </w:r>
    </w:p>
    <w:p w14:paraId="42C40C9B" w14:textId="576B33BD" w:rsidR="0068353A" w:rsidRPr="0068353A" w:rsidRDefault="0068353A" w:rsidP="0068353A">
      <w:pPr>
        <w:numPr>
          <w:ilvl w:val="1"/>
          <w:numId w:val="4"/>
        </w:numPr>
        <w:spacing w:before="100" w:beforeAutospacing="1" w:after="100" w:afterAutospacing="1" w:line="240" w:lineRule="auto"/>
        <w:contextualSpacing/>
        <w:rPr>
          <w:rFonts w:eastAsia="Times New Roman" w:cs="Times New Roman"/>
        </w:rPr>
      </w:pPr>
      <w:r>
        <w:rPr>
          <w:rFonts w:eastAsia="Times New Roman" w:cs="Times New Roman"/>
          <w:bCs/>
        </w:rPr>
        <w:t>Multimodal pre-operative medications</w:t>
      </w:r>
    </w:p>
    <w:p w14:paraId="29988B52" w14:textId="729306E7" w:rsidR="0068353A" w:rsidRPr="0068353A" w:rsidRDefault="0068353A" w:rsidP="0068353A">
      <w:pPr>
        <w:numPr>
          <w:ilvl w:val="1"/>
          <w:numId w:val="4"/>
        </w:numPr>
        <w:spacing w:before="100" w:beforeAutospacing="1" w:after="100" w:afterAutospacing="1" w:line="240" w:lineRule="auto"/>
        <w:contextualSpacing/>
        <w:rPr>
          <w:rFonts w:eastAsia="Times New Roman" w:cs="Times New Roman"/>
        </w:rPr>
      </w:pPr>
      <w:r>
        <w:rPr>
          <w:rFonts w:eastAsia="Times New Roman" w:cs="Times New Roman"/>
          <w:bCs/>
        </w:rPr>
        <w:t>Standardized blocks, including drug and concentration</w:t>
      </w:r>
    </w:p>
    <w:p w14:paraId="0D7CD21E" w14:textId="35DEC372" w:rsidR="0068353A" w:rsidRPr="001D72D8" w:rsidRDefault="0068353A" w:rsidP="0068353A">
      <w:pPr>
        <w:numPr>
          <w:ilvl w:val="1"/>
          <w:numId w:val="4"/>
        </w:numPr>
        <w:spacing w:before="100" w:beforeAutospacing="1" w:after="100" w:afterAutospacing="1" w:line="240" w:lineRule="auto"/>
        <w:contextualSpacing/>
        <w:rPr>
          <w:rFonts w:eastAsia="Times New Roman" w:cs="Times New Roman"/>
        </w:rPr>
      </w:pPr>
      <w:r>
        <w:rPr>
          <w:rFonts w:eastAsia="Times New Roman" w:cs="Times New Roman"/>
          <w:bCs/>
        </w:rPr>
        <w:t>Standardized anaesthetics</w:t>
      </w:r>
    </w:p>
    <w:p w14:paraId="28DD4390" w14:textId="77777777" w:rsidR="00AD4F6C" w:rsidRDefault="00AD4F6C" w:rsidP="00214E75">
      <w:pPr>
        <w:spacing w:before="100" w:beforeAutospacing="1" w:after="100" w:afterAutospacing="1" w:line="240" w:lineRule="auto"/>
        <w:contextualSpacing/>
        <w:rPr>
          <w:rFonts w:eastAsia="Times New Roman" w:cs="Times New Roman"/>
          <w:b/>
          <w:bCs/>
        </w:rPr>
      </w:pPr>
    </w:p>
    <w:p w14:paraId="4B75BF3B" w14:textId="77777777" w:rsidR="00A348A0" w:rsidRPr="00A25F90" w:rsidRDefault="00A348A0" w:rsidP="00214E75">
      <w:pPr>
        <w:spacing w:before="100" w:beforeAutospacing="1" w:after="100" w:afterAutospacing="1" w:line="240" w:lineRule="auto"/>
        <w:contextualSpacing/>
        <w:rPr>
          <w:rFonts w:eastAsia="Times New Roman" w:cs="Times New Roman"/>
        </w:rPr>
      </w:pPr>
      <w:r w:rsidRPr="00A25F90">
        <w:rPr>
          <w:rFonts w:eastAsia="Times New Roman" w:cs="Times New Roman"/>
          <w:b/>
          <w:bCs/>
        </w:rPr>
        <w:t>Pre-Hospital Process</w:t>
      </w:r>
      <w:r w:rsidRPr="00A25F90">
        <w:rPr>
          <w:rFonts w:eastAsia="Times New Roman" w:cs="Times New Roman"/>
        </w:rPr>
        <w:t xml:space="preserve">: </w:t>
      </w:r>
    </w:p>
    <w:p w14:paraId="7F36250E" w14:textId="77777777" w:rsidR="00A348A0" w:rsidRPr="0068353A" w:rsidRDefault="00C75A6B" w:rsidP="00214E75">
      <w:pPr>
        <w:spacing w:before="100" w:beforeAutospacing="1" w:after="100" w:afterAutospacing="1" w:line="240" w:lineRule="auto"/>
        <w:contextualSpacing/>
        <w:rPr>
          <w:rFonts w:eastAsia="Times New Roman" w:cs="Times New Roman"/>
        </w:rPr>
      </w:pPr>
      <w:r w:rsidRPr="0068353A">
        <w:rPr>
          <w:rFonts w:eastAsia="Times New Roman" w:cs="Times New Roman"/>
        </w:rPr>
        <w:t>S</w:t>
      </w:r>
      <w:r w:rsidR="00A348A0" w:rsidRPr="0068353A">
        <w:rPr>
          <w:rFonts w:eastAsia="Times New Roman" w:cs="Times New Roman"/>
        </w:rPr>
        <w:t xml:space="preserve">urgeon’s office/OJAC: </w:t>
      </w:r>
    </w:p>
    <w:p w14:paraId="154C4467" w14:textId="41083935" w:rsidR="005B1410" w:rsidRPr="0068353A" w:rsidRDefault="00A348A0" w:rsidP="005B1410">
      <w:pPr>
        <w:numPr>
          <w:ilvl w:val="1"/>
          <w:numId w:val="5"/>
        </w:numPr>
        <w:snapToGrid w:val="0"/>
        <w:spacing w:before="100" w:beforeAutospacing="1" w:after="100" w:afterAutospacing="1" w:line="240" w:lineRule="auto"/>
        <w:contextualSpacing/>
        <w:rPr>
          <w:rFonts w:eastAsia="Times New Roman" w:cs="Times New Roman"/>
        </w:rPr>
      </w:pPr>
      <w:r w:rsidRPr="0068353A">
        <w:rPr>
          <w:rFonts w:eastAsia="Times New Roman" w:cs="Times New Roman"/>
        </w:rPr>
        <w:t xml:space="preserve">After the surgeon identifies a patient suitable for an outpatient TJR, surgeon or designee will provide educational material to patient and </w:t>
      </w:r>
      <w:r w:rsidR="005B1410" w:rsidRPr="0068353A">
        <w:rPr>
          <w:rFonts w:eastAsia="Times New Roman" w:cs="Times New Roman"/>
        </w:rPr>
        <w:t>support person</w:t>
      </w:r>
      <w:r w:rsidRPr="0068353A">
        <w:rPr>
          <w:rFonts w:eastAsia="Times New Roman" w:cs="Times New Roman"/>
        </w:rPr>
        <w:t xml:space="preserve">. Patient and healthcare partner must review this information.  </w:t>
      </w:r>
    </w:p>
    <w:p w14:paraId="22AC4C49" w14:textId="27E04061" w:rsidR="00C75A6B" w:rsidRPr="005B1410" w:rsidRDefault="005B1410" w:rsidP="005B1410">
      <w:pPr>
        <w:pStyle w:val="ListParagraph"/>
        <w:numPr>
          <w:ilvl w:val="1"/>
          <w:numId w:val="5"/>
        </w:numPr>
        <w:snapToGrid w:val="0"/>
        <w:spacing w:before="100" w:beforeAutospacing="1" w:after="100" w:afterAutospacing="1"/>
        <w:rPr>
          <w:rFonts w:eastAsia="Times New Roman" w:cs="Times New Roman"/>
          <w:color w:val="000000" w:themeColor="text1"/>
          <w:sz w:val="22"/>
          <w:szCs w:val="22"/>
        </w:rPr>
      </w:pPr>
      <w:r>
        <w:rPr>
          <w:rFonts w:eastAsia="Times New Roman" w:cs="Times New Roman"/>
          <w:color w:val="000000" w:themeColor="text1"/>
          <w:sz w:val="22"/>
          <w:szCs w:val="22"/>
        </w:rPr>
        <w:t>Support person</w:t>
      </w:r>
      <w:r w:rsidR="00A348A0" w:rsidRPr="00C75A6B">
        <w:rPr>
          <w:rFonts w:eastAsia="Times New Roman" w:cs="Times New Roman"/>
          <w:color w:val="000000" w:themeColor="text1"/>
          <w:sz w:val="22"/>
          <w:szCs w:val="22"/>
        </w:rPr>
        <w:t xml:space="preserve"> is aware that he/she must be present for all surgeon visits, hospital stay and at home with patient for, at least, 4 days after surgery. </w:t>
      </w:r>
    </w:p>
    <w:p w14:paraId="68737486" w14:textId="0E488DF0" w:rsidR="00FF0CF0" w:rsidRPr="00475BBF" w:rsidRDefault="00A348A0" w:rsidP="00214E75">
      <w:pPr>
        <w:pStyle w:val="ListParagraph"/>
        <w:numPr>
          <w:ilvl w:val="1"/>
          <w:numId w:val="5"/>
        </w:numPr>
        <w:snapToGrid w:val="0"/>
        <w:spacing w:before="100" w:beforeAutospacing="1" w:after="100" w:afterAutospacing="1"/>
        <w:rPr>
          <w:rFonts w:eastAsia="Times New Roman" w:cs="Times New Roman"/>
          <w:color w:val="000000" w:themeColor="text1"/>
          <w:sz w:val="22"/>
          <w:szCs w:val="22"/>
        </w:rPr>
      </w:pPr>
      <w:r w:rsidRPr="0068353A">
        <w:rPr>
          <w:rFonts w:eastAsia="Times New Roman" w:cs="Times New Roman"/>
          <w:color w:val="000000" w:themeColor="text1"/>
          <w:sz w:val="22"/>
          <w:szCs w:val="22"/>
        </w:rPr>
        <w:t xml:space="preserve">Surgeon’s office will schedule case and complete booking sheet identifying patient as an “Outpatient THR/TKR/UKR”. The OR schedule will identify patient as </w:t>
      </w:r>
      <w:r w:rsidR="00B45A18">
        <w:rPr>
          <w:rFonts w:eastAsia="Times New Roman" w:cs="Times New Roman"/>
          <w:color w:val="000000" w:themeColor="text1"/>
          <w:sz w:val="22"/>
          <w:szCs w:val="22"/>
        </w:rPr>
        <w:t>DS (day surgery).</w:t>
      </w:r>
      <w:r w:rsidRPr="0068353A">
        <w:rPr>
          <w:rFonts w:eastAsia="Times New Roman" w:cs="Times New Roman"/>
          <w:color w:val="000000" w:themeColor="text1"/>
          <w:sz w:val="22"/>
          <w:szCs w:val="22"/>
        </w:rPr>
        <w:t xml:space="preserve"> </w:t>
      </w:r>
    </w:p>
    <w:p w14:paraId="3E2591A7" w14:textId="65BE444D" w:rsidR="001E63B0" w:rsidRPr="00E26D99" w:rsidRDefault="001E63B0" w:rsidP="001E63B0">
      <w:pPr>
        <w:spacing w:before="100" w:beforeAutospacing="1" w:after="100" w:afterAutospacing="1" w:line="240" w:lineRule="auto"/>
        <w:contextualSpacing/>
        <w:rPr>
          <w:rFonts w:eastAsia="Times New Roman" w:cs="Times New Roman"/>
          <w:bCs/>
          <w:color w:val="000000" w:themeColor="text1"/>
        </w:rPr>
      </w:pPr>
      <w:r w:rsidRPr="00E26D99">
        <w:rPr>
          <w:rFonts w:eastAsia="Times New Roman" w:cs="Times New Roman"/>
          <w:bCs/>
          <w:color w:val="000000" w:themeColor="text1"/>
        </w:rPr>
        <w:lastRenderedPageBreak/>
        <w:t>SAC Appointment</w:t>
      </w:r>
      <w:r w:rsidR="00FD3298" w:rsidRPr="00E26D99">
        <w:rPr>
          <w:rFonts w:eastAsia="Times New Roman" w:cs="Times New Roman"/>
          <w:bCs/>
          <w:color w:val="000000" w:themeColor="text1"/>
        </w:rPr>
        <w:t>:</w:t>
      </w:r>
    </w:p>
    <w:p w14:paraId="42517AC6" w14:textId="1ADE35DD" w:rsidR="001E63B0" w:rsidRPr="00E26D99" w:rsidRDefault="001E63B0" w:rsidP="001E63B0">
      <w:pPr>
        <w:numPr>
          <w:ilvl w:val="1"/>
          <w:numId w:val="5"/>
        </w:numPr>
        <w:snapToGrid w:val="0"/>
        <w:spacing w:before="100" w:beforeAutospacing="1" w:after="100" w:afterAutospacing="1" w:line="240" w:lineRule="auto"/>
        <w:contextualSpacing/>
        <w:rPr>
          <w:rFonts w:eastAsia="Times New Roman" w:cs="Times New Roman"/>
          <w:color w:val="000000" w:themeColor="text1"/>
        </w:rPr>
      </w:pPr>
      <w:r w:rsidRPr="00E26D99">
        <w:rPr>
          <w:rFonts w:eastAsia="Times New Roman" w:cs="Times New Roman"/>
        </w:rPr>
        <w:t>The Anesthesiologist will make final de</w:t>
      </w:r>
      <w:r w:rsidR="005C671E" w:rsidRPr="00E26D99">
        <w:rPr>
          <w:rFonts w:eastAsia="Times New Roman" w:cs="Times New Roman"/>
        </w:rPr>
        <w:t>cision if patient is medically</w:t>
      </w:r>
      <w:r w:rsidRPr="00E26D99">
        <w:rPr>
          <w:rFonts w:eastAsia="Times New Roman" w:cs="Times New Roman"/>
        </w:rPr>
        <w:t xml:space="preserve"> appropriate for outpatient TJR. If it is determined that patient does not meet </w:t>
      </w:r>
      <w:r w:rsidR="005C671E" w:rsidRPr="00E26D99">
        <w:rPr>
          <w:rFonts w:eastAsia="Times New Roman" w:cs="Times New Roman"/>
        </w:rPr>
        <w:t>the criteria for outpatient TJR</w:t>
      </w:r>
      <w:r w:rsidRPr="00E26D99">
        <w:rPr>
          <w:rFonts w:eastAsia="Times New Roman" w:cs="Times New Roman"/>
        </w:rPr>
        <w:t xml:space="preserve"> by the Navigator or Anesthesiologist, the navigator will notify surgeon. The surgeon will be responsible for discussing this outcome with the patient.  </w:t>
      </w:r>
    </w:p>
    <w:p w14:paraId="141B0B62" w14:textId="77777777" w:rsidR="001E63B0" w:rsidRDefault="001E63B0" w:rsidP="00214E75">
      <w:pPr>
        <w:spacing w:before="100" w:beforeAutospacing="1" w:after="100" w:afterAutospacing="1" w:line="240" w:lineRule="auto"/>
        <w:contextualSpacing/>
        <w:rPr>
          <w:rFonts w:eastAsia="Times New Roman" w:cs="Times New Roman"/>
        </w:rPr>
      </w:pPr>
    </w:p>
    <w:p w14:paraId="304A2CE5" w14:textId="5F0669F0" w:rsidR="00FF0CF0" w:rsidRPr="00FF0CF0" w:rsidRDefault="0068353A" w:rsidP="00214E75">
      <w:pPr>
        <w:spacing w:before="100" w:beforeAutospacing="1" w:after="100" w:afterAutospacing="1" w:line="240" w:lineRule="auto"/>
        <w:contextualSpacing/>
        <w:rPr>
          <w:rFonts w:eastAsia="Times New Roman" w:cs="Times New Roman"/>
        </w:rPr>
      </w:pPr>
      <w:r>
        <w:rPr>
          <w:rFonts w:eastAsia="Times New Roman" w:cs="Times New Roman"/>
        </w:rPr>
        <w:t>Orthopaedic Patient</w:t>
      </w:r>
      <w:r w:rsidR="00FF0CF0" w:rsidRPr="00FF0CF0">
        <w:rPr>
          <w:rFonts w:eastAsia="Times New Roman" w:cs="Times New Roman"/>
        </w:rPr>
        <w:t xml:space="preserve"> Navigator:</w:t>
      </w:r>
    </w:p>
    <w:p w14:paraId="0EE2C32D" w14:textId="40F98437" w:rsidR="0068353A" w:rsidRDefault="0068353A" w:rsidP="005C671E">
      <w:pPr>
        <w:pStyle w:val="ListParagraph"/>
        <w:numPr>
          <w:ilvl w:val="1"/>
          <w:numId w:val="12"/>
        </w:numPr>
        <w:spacing w:before="100" w:beforeAutospacing="1" w:after="100" w:afterAutospacing="1"/>
        <w:rPr>
          <w:rFonts w:eastAsia="Times New Roman" w:cs="Times New Roman"/>
          <w:sz w:val="22"/>
          <w:szCs w:val="22"/>
        </w:rPr>
      </w:pPr>
      <w:r>
        <w:rPr>
          <w:rFonts w:eastAsia="Times New Roman" w:cs="Times New Roman"/>
          <w:sz w:val="22"/>
          <w:szCs w:val="22"/>
        </w:rPr>
        <w:t xml:space="preserve">Patient navigator will be notified by </w:t>
      </w:r>
      <w:r w:rsidR="007C779F">
        <w:rPr>
          <w:rFonts w:eastAsia="Times New Roman" w:cs="Times New Roman"/>
          <w:sz w:val="22"/>
          <w:szCs w:val="22"/>
        </w:rPr>
        <w:t xml:space="preserve">OR Scheduling clerk </w:t>
      </w:r>
      <w:r>
        <w:rPr>
          <w:rFonts w:eastAsia="Times New Roman" w:cs="Times New Roman"/>
          <w:sz w:val="22"/>
          <w:szCs w:val="22"/>
        </w:rPr>
        <w:t>once surgery date is booked.</w:t>
      </w:r>
    </w:p>
    <w:p w14:paraId="766A85A5" w14:textId="77777777" w:rsidR="00981CC2" w:rsidRDefault="00981CC2" w:rsidP="005C671E">
      <w:pPr>
        <w:pStyle w:val="ListParagraph"/>
        <w:numPr>
          <w:ilvl w:val="1"/>
          <w:numId w:val="12"/>
        </w:numPr>
        <w:spacing w:before="100" w:beforeAutospacing="1" w:after="100" w:afterAutospacing="1"/>
        <w:rPr>
          <w:rFonts w:eastAsia="Times New Roman" w:cs="Times New Roman"/>
          <w:sz w:val="22"/>
          <w:szCs w:val="22"/>
        </w:rPr>
      </w:pPr>
      <w:r>
        <w:rPr>
          <w:rFonts w:eastAsia="Times New Roman" w:cs="Times New Roman"/>
          <w:sz w:val="22"/>
          <w:szCs w:val="22"/>
        </w:rPr>
        <w:t>Contact the patient and review the following:</w:t>
      </w:r>
    </w:p>
    <w:p w14:paraId="7375A5F4" w14:textId="6495E2AE" w:rsidR="00981CC2" w:rsidRDefault="00981CC2" w:rsidP="00981CC2">
      <w:pPr>
        <w:pStyle w:val="ListParagraph"/>
        <w:numPr>
          <w:ilvl w:val="2"/>
          <w:numId w:val="12"/>
        </w:numPr>
        <w:spacing w:before="100" w:beforeAutospacing="1" w:after="100" w:afterAutospacing="1"/>
        <w:ind w:left="1418" w:hanging="425"/>
        <w:rPr>
          <w:rFonts w:eastAsia="Times New Roman" w:cs="Times New Roman"/>
          <w:sz w:val="22"/>
          <w:szCs w:val="22"/>
        </w:rPr>
      </w:pPr>
      <w:r>
        <w:rPr>
          <w:rFonts w:eastAsia="Times New Roman" w:cs="Times New Roman"/>
          <w:sz w:val="22"/>
          <w:szCs w:val="22"/>
        </w:rPr>
        <w:t>Ensure the patient is aware of the process and strict protocol to be discharged home the same day of surgery</w:t>
      </w:r>
    </w:p>
    <w:p w14:paraId="65260CBE" w14:textId="7E693C00" w:rsidR="00981CC2" w:rsidRDefault="00981CC2" w:rsidP="00981CC2">
      <w:pPr>
        <w:pStyle w:val="ListParagraph"/>
        <w:numPr>
          <w:ilvl w:val="2"/>
          <w:numId w:val="12"/>
        </w:numPr>
        <w:spacing w:before="100" w:beforeAutospacing="1" w:after="100" w:afterAutospacing="1"/>
        <w:ind w:left="1418" w:hanging="425"/>
        <w:rPr>
          <w:rFonts w:eastAsia="Times New Roman" w:cs="Times New Roman"/>
          <w:sz w:val="22"/>
          <w:szCs w:val="22"/>
        </w:rPr>
      </w:pPr>
      <w:r>
        <w:rPr>
          <w:rFonts w:eastAsia="Times New Roman" w:cs="Times New Roman"/>
          <w:sz w:val="22"/>
          <w:szCs w:val="22"/>
        </w:rPr>
        <w:t>Ensure all equipment will be arranged</w:t>
      </w:r>
    </w:p>
    <w:p w14:paraId="262FBDD1" w14:textId="5FBFDA8E" w:rsidR="00981CC2" w:rsidRDefault="00981CC2" w:rsidP="00981CC2">
      <w:pPr>
        <w:pStyle w:val="ListParagraph"/>
        <w:numPr>
          <w:ilvl w:val="2"/>
          <w:numId w:val="12"/>
        </w:numPr>
        <w:spacing w:before="100" w:beforeAutospacing="1" w:after="100" w:afterAutospacing="1"/>
        <w:ind w:left="1418" w:hanging="425"/>
        <w:rPr>
          <w:rFonts w:eastAsia="Times New Roman" w:cs="Times New Roman"/>
          <w:sz w:val="22"/>
          <w:szCs w:val="22"/>
        </w:rPr>
      </w:pPr>
      <w:r>
        <w:rPr>
          <w:rFonts w:eastAsia="Times New Roman" w:cs="Times New Roman"/>
          <w:sz w:val="22"/>
          <w:szCs w:val="22"/>
        </w:rPr>
        <w:t>Ensure support person will be available day of surgery</w:t>
      </w:r>
    </w:p>
    <w:p w14:paraId="5E30694D" w14:textId="73E0FD6C" w:rsidR="00981CC2" w:rsidRDefault="00981CC2" w:rsidP="00981CC2">
      <w:pPr>
        <w:pStyle w:val="ListParagraph"/>
        <w:numPr>
          <w:ilvl w:val="2"/>
          <w:numId w:val="12"/>
        </w:numPr>
        <w:spacing w:before="100" w:beforeAutospacing="1" w:after="100" w:afterAutospacing="1"/>
        <w:ind w:left="1418" w:hanging="425"/>
        <w:rPr>
          <w:rFonts w:eastAsia="Times New Roman" w:cs="Times New Roman"/>
          <w:sz w:val="22"/>
          <w:szCs w:val="22"/>
        </w:rPr>
      </w:pPr>
      <w:r>
        <w:rPr>
          <w:rFonts w:eastAsia="Times New Roman" w:cs="Times New Roman"/>
          <w:sz w:val="22"/>
          <w:szCs w:val="22"/>
        </w:rPr>
        <w:t>Discuss discharge planning (outpatient physiotherapy plan, transportation needs, etc.)</w:t>
      </w:r>
    </w:p>
    <w:p w14:paraId="28A91C78" w14:textId="0319A49F" w:rsidR="00FF0CF0" w:rsidRDefault="00FF0CF0" w:rsidP="00981CC2">
      <w:pPr>
        <w:pStyle w:val="ListParagraph"/>
        <w:numPr>
          <w:ilvl w:val="2"/>
          <w:numId w:val="12"/>
        </w:numPr>
        <w:spacing w:before="100" w:beforeAutospacing="1" w:after="100" w:afterAutospacing="1"/>
        <w:ind w:left="1418" w:hanging="425"/>
        <w:rPr>
          <w:rFonts w:eastAsia="Times New Roman" w:cs="Times New Roman"/>
          <w:sz w:val="22"/>
          <w:szCs w:val="22"/>
        </w:rPr>
      </w:pPr>
      <w:r w:rsidRPr="00FF0CF0">
        <w:rPr>
          <w:rFonts w:eastAsia="Times New Roman" w:cs="Times New Roman"/>
          <w:sz w:val="22"/>
          <w:szCs w:val="22"/>
        </w:rPr>
        <w:t>Prepare the patient for pain. Pain is normal after a joint replacement.</w:t>
      </w:r>
    </w:p>
    <w:p w14:paraId="09CD2AE7" w14:textId="63412A98" w:rsidR="004823D6" w:rsidRPr="00FF0CF0" w:rsidRDefault="004823D6" w:rsidP="004823D6">
      <w:pPr>
        <w:pStyle w:val="ListParagraph"/>
        <w:numPr>
          <w:ilvl w:val="1"/>
          <w:numId w:val="12"/>
        </w:numPr>
        <w:spacing w:before="100" w:beforeAutospacing="1" w:after="100" w:afterAutospacing="1"/>
        <w:rPr>
          <w:rFonts w:eastAsia="Times New Roman" w:cs="Times New Roman"/>
          <w:sz w:val="22"/>
          <w:szCs w:val="22"/>
        </w:rPr>
      </w:pPr>
      <w:r>
        <w:rPr>
          <w:sz w:val="22"/>
          <w:szCs w:val="22"/>
        </w:rPr>
        <w:t>The patient navigator will be the primary contact for any other questions/needs the patient and/or support person may have during the process.</w:t>
      </w:r>
    </w:p>
    <w:p w14:paraId="36F7F951" w14:textId="743A6830" w:rsidR="00FF0CF0" w:rsidRPr="00FF0CF0" w:rsidRDefault="00FF0CF0" w:rsidP="00214E75">
      <w:pPr>
        <w:spacing w:before="100" w:beforeAutospacing="1" w:after="100" w:afterAutospacing="1" w:line="240" w:lineRule="auto"/>
        <w:contextualSpacing/>
        <w:rPr>
          <w:rFonts w:eastAsia="Times New Roman" w:cs="Times New Roman"/>
          <w:b/>
          <w:color w:val="000000" w:themeColor="text1"/>
        </w:rPr>
      </w:pPr>
      <w:r w:rsidRPr="00FF0CF0">
        <w:rPr>
          <w:rFonts w:eastAsia="Times New Roman" w:cs="Times New Roman"/>
          <w:b/>
          <w:bCs/>
          <w:color w:val="000000" w:themeColor="text1"/>
        </w:rPr>
        <w:t xml:space="preserve">Outpatient Day of Surgery: </w:t>
      </w:r>
    </w:p>
    <w:p w14:paraId="62246274" w14:textId="77777777" w:rsidR="00FF0CF0" w:rsidRPr="00FF0CF0" w:rsidRDefault="00FF0CF0" w:rsidP="00214E75">
      <w:pPr>
        <w:pStyle w:val="NoSpacing"/>
        <w:numPr>
          <w:ilvl w:val="0"/>
          <w:numId w:val="7"/>
        </w:numPr>
        <w:contextualSpacing/>
        <w:rPr>
          <w:sz w:val="22"/>
          <w:szCs w:val="22"/>
        </w:rPr>
      </w:pPr>
      <w:r w:rsidRPr="00FF0CF0">
        <w:rPr>
          <w:sz w:val="22"/>
          <w:szCs w:val="22"/>
        </w:rPr>
        <w:t xml:space="preserve">Pre-operative: </w:t>
      </w:r>
    </w:p>
    <w:p w14:paraId="28E1E7AA" w14:textId="77777777" w:rsidR="00FF0CF0" w:rsidRPr="00FF0CF0" w:rsidRDefault="00FF0CF0" w:rsidP="00214E75">
      <w:pPr>
        <w:pStyle w:val="NoSpacing"/>
        <w:contextualSpacing/>
        <w:rPr>
          <w:sz w:val="22"/>
          <w:szCs w:val="22"/>
        </w:rPr>
      </w:pPr>
    </w:p>
    <w:p w14:paraId="7D813155" w14:textId="3DD71B96" w:rsidR="00FF0CF0" w:rsidRPr="00FF0CF0" w:rsidRDefault="00FF0CF0" w:rsidP="00214E75">
      <w:pPr>
        <w:pStyle w:val="NoSpacing"/>
        <w:numPr>
          <w:ilvl w:val="0"/>
          <w:numId w:val="6"/>
        </w:numPr>
        <w:contextualSpacing/>
        <w:rPr>
          <w:sz w:val="22"/>
          <w:szCs w:val="22"/>
        </w:rPr>
      </w:pPr>
      <w:r w:rsidRPr="00FF0CF0">
        <w:rPr>
          <w:sz w:val="22"/>
          <w:szCs w:val="22"/>
        </w:rPr>
        <w:t>Patie</w:t>
      </w:r>
      <w:r w:rsidR="007C779F">
        <w:rPr>
          <w:sz w:val="22"/>
          <w:szCs w:val="22"/>
        </w:rPr>
        <w:t>nts scheduled for outpatient TJR</w:t>
      </w:r>
      <w:r w:rsidRPr="00FF0CF0">
        <w:rPr>
          <w:sz w:val="22"/>
          <w:szCs w:val="22"/>
        </w:rPr>
        <w:t xml:space="preserve"> will be placed in the appropriate pre-op bay depending on the procedure scheduled. </w:t>
      </w:r>
    </w:p>
    <w:p w14:paraId="604E7C25" w14:textId="4706B6EC" w:rsidR="00FF0CF0" w:rsidRPr="00FF0CF0" w:rsidRDefault="00FF0CF0" w:rsidP="00214E75">
      <w:pPr>
        <w:pStyle w:val="NoSpacing"/>
        <w:numPr>
          <w:ilvl w:val="0"/>
          <w:numId w:val="6"/>
        </w:numPr>
        <w:contextualSpacing/>
        <w:rPr>
          <w:sz w:val="22"/>
          <w:szCs w:val="22"/>
        </w:rPr>
      </w:pPr>
      <w:r w:rsidRPr="00FF0CF0">
        <w:rPr>
          <w:sz w:val="22"/>
          <w:szCs w:val="22"/>
        </w:rPr>
        <w:t>Patie</w:t>
      </w:r>
      <w:r w:rsidR="007564C0">
        <w:rPr>
          <w:sz w:val="22"/>
          <w:szCs w:val="22"/>
        </w:rPr>
        <w:t>nt will be prepared for surgery.</w:t>
      </w:r>
    </w:p>
    <w:p w14:paraId="3DFD716E" w14:textId="51F53575" w:rsidR="00FF0CF0" w:rsidRPr="00FF0CF0" w:rsidRDefault="00FF0CF0" w:rsidP="00214E75">
      <w:pPr>
        <w:pStyle w:val="NoSpacing"/>
        <w:numPr>
          <w:ilvl w:val="0"/>
          <w:numId w:val="6"/>
        </w:numPr>
        <w:contextualSpacing/>
        <w:rPr>
          <w:sz w:val="22"/>
          <w:szCs w:val="22"/>
        </w:rPr>
      </w:pPr>
      <w:r w:rsidRPr="00FF0CF0">
        <w:rPr>
          <w:sz w:val="22"/>
          <w:szCs w:val="22"/>
        </w:rPr>
        <w:t>Patients scheduled for outpatient TJR may ambulate to OR if all parties are in agreement (patient, surgeon, anesthesia, nurse)</w:t>
      </w:r>
      <w:r w:rsidR="00981CC2">
        <w:rPr>
          <w:sz w:val="22"/>
          <w:szCs w:val="22"/>
        </w:rPr>
        <w:t>.</w:t>
      </w:r>
      <w:r w:rsidRPr="00FF0CF0">
        <w:rPr>
          <w:sz w:val="22"/>
          <w:szCs w:val="22"/>
        </w:rPr>
        <w:t xml:space="preserve"> </w:t>
      </w:r>
    </w:p>
    <w:p w14:paraId="3EF56892" w14:textId="77777777" w:rsidR="00FF0CF0" w:rsidRPr="00FF0CF0" w:rsidRDefault="00FF0CF0" w:rsidP="00214E75">
      <w:pPr>
        <w:pStyle w:val="NoSpacing"/>
        <w:contextualSpacing/>
        <w:rPr>
          <w:sz w:val="22"/>
          <w:szCs w:val="22"/>
        </w:rPr>
      </w:pPr>
    </w:p>
    <w:p w14:paraId="67B97A2F" w14:textId="402758F1" w:rsidR="00FF0CF0" w:rsidRPr="00FF0CF0" w:rsidRDefault="00981CC2" w:rsidP="00214E75">
      <w:pPr>
        <w:pStyle w:val="NoSpacing"/>
        <w:numPr>
          <w:ilvl w:val="0"/>
          <w:numId w:val="7"/>
        </w:numPr>
        <w:contextualSpacing/>
        <w:rPr>
          <w:sz w:val="22"/>
          <w:szCs w:val="22"/>
        </w:rPr>
      </w:pPr>
      <w:r>
        <w:rPr>
          <w:sz w:val="22"/>
          <w:szCs w:val="22"/>
        </w:rPr>
        <w:t xml:space="preserve">Post-operative </w:t>
      </w:r>
      <w:r w:rsidR="00FF0CF0" w:rsidRPr="00FF0CF0">
        <w:rPr>
          <w:sz w:val="22"/>
          <w:szCs w:val="22"/>
        </w:rPr>
        <w:t xml:space="preserve">Intra-PACU Phase I: </w:t>
      </w:r>
    </w:p>
    <w:p w14:paraId="51915269" w14:textId="77777777" w:rsidR="00FF0CF0" w:rsidRPr="00FF0CF0" w:rsidRDefault="00FF0CF0" w:rsidP="00214E75">
      <w:pPr>
        <w:pStyle w:val="NoSpacing"/>
        <w:contextualSpacing/>
        <w:rPr>
          <w:sz w:val="22"/>
          <w:szCs w:val="22"/>
        </w:rPr>
      </w:pPr>
    </w:p>
    <w:p w14:paraId="4F137137" w14:textId="0E6AF840" w:rsidR="00FF0CF0" w:rsidRPr="00FF0CF0" w:rsidRDefault="00FF0CF0" w:rsidP="00214E75">
      <w:pPr>
        <w:pStyle w:val="NoSpacing"/>
        <w:numPr>
          <w:ilvl w:val="0"/>
          <w:numId w:val="8"/>
        </w:numPr>
        <w:contextualSpacing/>
        <w:rPr>
          <w:sz w:val="22"/>
          <w:szCs w:val="22"/>
        </w:rPr>
      </w:pPr>
      <w:r w:rsidRPr="00FF0CF0">
        <w:rPr>
          <w:sz w:val="22"/>
          <w:szCs w:val="22"/>
        </w:rPr>
        <w:t>Patient will be placed in stretcher (not bed) after surgery</w:t>
      </w:r>
      <w:r w:rsidR="00981CC2">
        <w:rPr>
          <w:sz w:val="22"/>
          <w:szCs w:val="22"/>
        </w:rPr>
        <w:t>.</w:t>
      </w:r>
      <w:r w:rsidRPr="00FF0CF0">
        <w:rPr>
          <w:sz w:val="22"/>
          <w:szCs w:val="22"/>
        </w:rPr>
        <w:t xml:space="preserve"> </w:t>
      </w:r>
    </w:p>
    <w:p w14:paraId="37EB3A79" w14:textId="6665D801" w:rsidR="00FF0CF0" w:rsidRPr="00FF0CF0" w:rsidRDefault="00FF0CF0" w:rsidP="00214E75">
      <w:pPr>
        <w:pStyle w:val="NoSpacing"/>
        <w:numPr>
          <w:ilvl w:val="0"/>
          <w:numId w:val="8"/>
        </w:numPr>
        <w:contextualSpacing/>
        <w:rPr>
          <w:sz w:val="22"/>
          <w:szCs w:val="22"/>
        </w:rPr>
      </w:pPr>
      <w:r w:rsidRPr="00FF0CF0">
        <w:rPr>
          <w:sz w:val="22"/>
          <w:szCs w:val="22"/>
        </w:rPr>
        <w:t xml:space="preserve">PACU RN will </w:t>
      </w:r>
      <w:r w:rsidR="00E22161">
        <w:rPr>
          <w:sz w:val="22"/>
          <w:szCs w:val="22"/>
        </w:rPr>
        <w:t xml:space="preserve">administer oral opioids (IV opioids should be avoided, wherever possible), acetaminophen, NSAIDS, and ondansetron </w:t>
      </w:r>
    </w:p>
    <w:p w14:paraId="562F1896" w14:textId="34BDAD9E" w:rsidR="00FF0CF0" w:rsidRPr="00FF0CF0" w:rsidRDefault="00FF0CF0" w:rsidP="00214E75">
      <w:pPr>
        <w:pStyle w:val="NoSpacing"/>
        <w:numPr>
          <w:ilvl w:val="0"/>
          <w:numId w:val="8"/>
        </w:numPr>
        <w:contextualSpacing/>
        <w:rPr>
          <w:sz w:val="22"/>
          <w:szCs w:val="22"/>
        </w:rPr>
      </w:pPr>
      <w:r w:rsidRPr="00FF0CF0">
        <w:rPr>
          <w:sz w:val="22"/>
          <w:szCs w:val="22"/>
        </w:rPr>
        <w:t>Continue with IV hydration</w:t>
      </w:r>
      <w:r w:rsidR="00981CC2">
        <w:rPr>
          <w:sz w:val="22"/>
          <w:szCs w:val="22"/>
        </w:rPr>
        <w:t>.</w:t>
      </w:r>
    </w:p>
    <w:p w14:paraId="67CF0A28" w14:textId="3F595574" w:rsidR="00FF0CF0" w:rsidRPr="00FF0CF0" w:rsidRDefault="00FF0CF0" w:rsidP="00214E75">
      <w:pPr>
        <w:pStyle w:val="NoSpacing"/>
        <w:numPr>
          <w:ilvl w:val="0"/>
          <w:numId w:val="8"/>
        </w:numPr>
        <w:contextualSpacing/>
        <w:rPr>
          <w:sz w:val="22"/>
          <w:szCs w:val="22"/>
        </w:rPr>
      </w:pPr>
      <w:r w:rsidRPr="00FF0CF0">
        <w:rPr>
          <w:sz w:val="22"/>
          <w:szCs w:val="22"/>
        </w:rPr>
        <w:t xml:space="preserve">PACU RN to apply ice and </w:t>
      </w:r>
      <w:r w:rsidR="00F5708C">
        <w:rPr>
          <w:sz w:val="22"/>
          <w:szCs w:val="22"/>
        </w:rPr>
        <w:t>assess motor function of operated side</w:t>
      </w:r>
      <w:r w:rsidR="00981CC2">
        <w:rPr>
          <w:sz w:val="22"/>
          <w:szCs w:val="22"/>
        </w:rPr>
        <w:t>.</w:t>
      </w:r>
    </w:p>
    <w:p w14:paraId="0CC58E4E" w14:textId="7415D467" w:rsidR="00FF0CF0" w:rsidRPr="00FF0CF0" w:rsidRDefault="00981CC2" w:rsidP="00214E75">
      <w:pPr>
        <w:pStyle w:val="NoSpacing"/>
        <w:numPr>
          <w:ilvl w:val="0"/>
          <w:numId w:val="8"/>
        </w:numPr>
        <w:contextualSpacing/>
        <w:rPr>
          <w:sz w:val="22"/>
          <w:szCs w:val="22"/>
        </w:rPr>
      </w:pPr>
      <w:r>
        <w:rPr>
          <w:sz w:val="22"/>
          <w:szCs w:val="22"/>
        </w:rPr>
        <w:t xml:space="preserve">Once patients meets </w:t>
      </w:r>
      <w:r w:rsidR="00FF0CF0" w:rsidRPr="00FF0CF0">
        <w:rPr>
          <w:sz w:val="22"/>
          <w:szCs w:val="22"/>
        </w:rPr>
        <w:t xml:space="preserve">discharge criteria from PACU phase I patient will be moved to phase II or discharge phase. </w:t>
      </w:r>
    </w:p>
    <w:p w14:paraId="11F0FDC9" w14:textId="10BBBB50" w:rsidR="00FF0CF0" w:rsidRDefault="00FF0CF0" w:rsidP="00214E75">
      <w:pPr>
        <w:pStyle w:val="NoSpacing"/>
        <w:contextualSpacing/>
        <w:rPr>
          <w:sz w:val="22"/>
          <w:szCs w:val="22"/>
        </w:rPr>
      </w:pPr>
    </w:p>
    <w:p w14:paraId="0D0DB3FF" w14:textId="77821F35" w:rsidR="00E04CC1" w:rsidRDefault="00E04CC1" w:rsidP="00214E75">
      <w:pPr>
        <w:pStyle w:val="NoSpacing"/>
        <w:contextualSpacing/>
        <w:rPr>
          <w:sz w:val="22"/>
          <w:szCs w:val="22"/>
        </w:rPr>
      </w:pPr>
    </w:p>
    <w:p w14:paraId="55F43235" w14:textId="77777777" w:rsidR="00E04CC1" w:rsidRPr="00FF0CF0" w:rsidRDefault="00E04CC1" w:rsidP="00214E75">
      <w:pPr>
        <w:pStyle w:val="NoSpacing"/>
        <w:contextualSpacing/>
        <w:rPr>
          <w:sz w:val="22"/>
          <w:szCs w:val="22"/>
        </w:rPr>
      </w:pPr>
    </w:p>
    <w:p w14:paraId="6544CB61" w14:textId="3DEBF094" w:rsidR="00FF0CF0" w:rsidRDefault="00981CC2" w:rsidP="00214E75">
      <w:pPr>
        <w:pStyle w:val="NoSpacing"/>
        <w:numPr>
          <w:ilvl w:val="0"/>
          <w:numId w:val="7"/>
        </w:numPr>
        <w:contextualSpacing/>
        <w:rPr>
          <w:sz w:val="22"/>
          <w:szCs w:val="22"/>
        </w:rPr>
      </w:pPr>
      <w:r>
        <w:rPr>
          <w:sz w:val="22"/>
          <w:szCs w:val="22"/>
        </w:rPr>
        <w:t xml:space="preserve">Post-operative </w:t>
      </w:r>
      <w:r w:rsidR="00FF0CF0" w:rsidRPr="00FF0CF0">
        <w:rPr>
          <w:sz w:val="22"/>
          <w:szCs w:val="22"/>
        </w:rPr>
        <w:t>Phase II or Discharge Phase:</w:t>
      </w:r>
    </w:p>
    <w:p w14:paraId="26CCBD9A" w14:textId="77777777" w:rsidR="00981CC2" w:rsidRPr="00FF0CF0" w:rsidRDefault="00981CC2" w:rsidP="00981CC2">
      <w:pPr>
        <w:pStyle w:val="NoSpacing"/>
        <w:ind w:left="720"/>
        <w:contextualSpacing/>
        <w:rPr>
          <w:sz w:val="22"/>
          <w:szCs w:val="22"/>
        </w:rPr>
      </w:pPr>
    </w:p>
    <w:p w14:paraId="0EF2F9B7" w14:textId="51B96862" w:rsidR="002E4C54" w:rsidRDefault="002E4C54" w:rsidP="00214E75">
      <w:pPr>
        <w:pStyle w:val="NoSpacing"/>
        <w:numPr>
          <w:ilvl w:val="0"/>
          <w:numId w:val="9"/>
        </w:numPr>
        <w:contextualSpacing/>
        <w:rPr>
          <w:sz w:val="22"/>
          <w:szCs w:val="22"/>
        </w:rPr>
      </w:pPr>
      <w:r>
        <w:rPr>
          <w:sz w:val="22"/>
          <w:szCs w:val="22"/>
        </w:rPr>
        <w:t xml:space="preserve">Support person will be phoned by </w:t>
      </w:r>
      <w:r w:rsidR="00C3319B">
        <w:rPr>
          <w:sz w:val="22"/>
          <w:szCs w:val="22"/>
        </w:rPr>
        <w:t>the SADU Nurse</w:t>
      </w:r>
      <w:r>
        <w:rPr>
          <w:sz w:val="22"/>
          <w:szCs w:val="22"/>
        </w:rPr>
        <w:t xml:space="preserve"> to come into the day surgery department.</w:t>
      </w:r>
    </w:p>
    <w:p w14:paraId="1B3B2D65" w14:textId="79FDAD5E" w:rsidR="00FF0CF0" w:rsidRPr="00FF0CF0" w:rsidRDefault="00B45A18" w:rsidP="00214E75">
      <w:pPr>
        <w:pStyle w:val="NoSpacing"/>
        <w:numPr>
          <w:ilvl w:val="0"/>
          <w:numId w:val="9"/>
        </w:numPr>
        <w:contextualSpacing/>
        <w:rPr>
          <w:sz w:val="22"/>
          <w:szCs w:val="22"/>
        </w:rPr>
      </w:pPr>
      <w:r>
        <w:rPr>
          <w:sz w:val="22"/>
          <w:szCs w:val="22"/>
        </w:rPr>
        <w:t>The Day Surgery nurse</w:t>
      </w:r>
      <w:r w:rsidR="00FF0CF0" w:rsidRPr="00FF0CF0">
        <w:rPr>
          <w:sz w:val="22"/>
          <w:szCs w:val="22"/>
        </w:rPr>
        <w:t xml:space="preserve"> will have the patient sit on the edge of the bed to dangle the limb. Ideally, they will have them stan</w:t>
      </w:r>
      <w:r w:rsidR="00C3319B">
        <w:rPr>
          <w:sz w:val="22"/>
          <w:szCs w:val="22"/>
        </w:rPr>
        <w:t>d and sit. If unsuccessful, SADU</w:t>
      </w:r>
      <w:r>
        <w:rPr>
          <w:sz w:val="22"/>
          <w:szCs w:val="22"/>
        </w:rPr>
        <w:t xml:space="preserve"> nurse</w:t>
      </w:r>
      <w:r w:rsidR="00FF0CF0" w:rsidRPr="00FF0CF0">
        <w:rPr>
          <w:sz w:val="22"/>
          <w:szCs w:val="22"/>
        </w:rPr>
        <w:t xml:space="preserve"> will continue to treat patient and re-try </w:t>
      </w:r>
      <w:r w:rsidR="00DE12D0">
        <w:rPr>
          <w:sz w:val="22"/>
          <w:szCs w:val="22"/>
        </w:rPr>
        <w:t xml:space="preserve">within </w:t>
      </w:r>
      <w:r w:rsidR="00FF0CF0" w:rsidRPr="00FF0CF0">
        <w:rPr>
          <w:sz w:val="22"/>
          <w:szCs w:val="22"/>
        </w:rPr>
        <w:t xml:space="preserve">1 hour. </w:t>
      </w:r>
    </w:p>
    <w:p w14:paraId="48493769" w14:textId="3246E07C" w:rsidR="00FF0CF0" w:rsidRPr="00FF0CF0" w:rsidRDefault="002E4C54" w:rsidP="00214E75">
      <w:pPr>
        <w:pStyle w:val="NoSpacing"/>
        <w:numPr>
          <w:ilvl w:val="0"/>
          <w:numId w:val="9"/>
        </w:numPr>
        <w:contextualSpacing/>
        <w:rPr>
          <w:color w:val="000000" w:themeColor="text1"/>
          <w:sz w:val="22"/>
          <w:szCs w:val="22"/>
        </w:rPr>
      </w:pPr>
      <w:r>
        <w:rPr>
          <w:color w:val="000000" w:themeColor="text1"/>
          <w:sz w:val="22"/>
          <w:szCs w:val="22"/>
        </w:rPr>
        <w:lastRenderedPageBreak/>
        <w:t>Physiotherapist</w:t>
      </w:r>
      <w:r w:rsidR="00F5708C">
        <w:rPr>
          <w:color w:val="000000" w:themeColor="text1"/>
          <w:sz w:val="22"/>
          <w:szCs w:val="22"/>
        </w:rPr>
        <w:t xml:space="preserve"> (PT)</w:t>
      </w:r>
      <w:r w:rsidR="00FF0CF0" w:rsidRPr="00FF0CF0">
        <w:rPr>
          <w:color w:val="000000" w:themeColor="text1"/>
          <w:sz w:val="22"/>
          <w:szCs w:val="22"/>
        </w:rPr>
        <w:t xml:space="preserve"> will be consulted when the patient is successful with standing. They will be contacted by day surgery and arrive in the day surgery area for assessment and treatment.</w:t>
      </w:r>
    </w:p>
    <w:p w14:paraId="3BDF8811" w14:textId="66D5F2A7" w:rsidR="00FF0CF0" w:rsidRPr="00FF0CF0" w:rsidRDefault="00FF0CF0" w:rsidP="00214E75">
      <w:pPr>
        <w:pStyle w:val="NoSpacing"/>
        <w:numPr>
          <w:ilvl w:val="0"/>
          <w:numId w:val="9"/>
        </w:numPr>
        <w:contextualSpacing/>
        <w:rPr>
          <w:sz w:val="22"/>
          <w:szCs w:val="22"/>
        </w:rPr>
      </w:pPr>
      <w:r w:rsidRPr="00FF0CF0">
        <w:rPr>
          <w:sz w:val="22"/>
          <w:szCs w:val="22"/>
        </w:rPr>
        <w:t xml:space="preserve">PT will </w:t>
      </w:r>
      <w:r w:rsidR="00F5708C">
        <w:rPr>
          <w:sz w:val="22"/>
          <w:szCs w:val="22"/>
        </w:rPr>
        <w:t xml:space="preserve">provide assessment including gait training, education, </w:t>
      </w:r>
      <w:r w:rsidR="007D5145">
        <w:rPr>
          <w:sz w:val="22"/>
          <w:szCs w:val="22"/>
        </w:rPr>
        <w:t xml:space="preserve">exercise review, </w:t>
      </w:r>
      <w:r w:rsidR="002E4C54">
        <w:rPr>
          <w:sz w:val="22"/>
          <w:szCs w:val="22"/>
        </w:rPr>
        <w:t xml:space="preserve">and stair training. </w:t>
      </w:r>
    </w:p>
    <w:p w14:paraId="0973D49D" w14:textId="6B172887" w:rsidR="00FF0CF0" w:rsidRDefault="00FF0CF0" w:rsidP="00214E75">
      <w:pPr>
        <w:pStyle w:val="NoSpacing"/>
        <w:numPr>
          <w:ilvl w:val="0"/>
          <w:numId w:val="9"/>
        </w:numPr>
        <w:contextualSpacing/>
        <w:rPr>
          <w:sz w:val="22"/>
          <w:szCs w:val="22"/>
        </w:rPr>
      </w:pPr>
      <w:r w:rsidRPr="00FF0CF0">
        <w:rPr>
          <w:sz w:val="22"/>
          <w:szCs w:val="22"/>
        </w:rPr>
        <w:t xml:space="preserve">Day Surgery RN will provide light diet and begin reviewing discharge instruction with patient and </w:t>
      </w:r>
      <w:r w:rsidR="002E4C54">
        <w:rPr>
          <w:sz w:val="22"/>
          <w:szCs w:val="22"/>
        </w:rPr>
        <w:t>support person.</w:t>
      </w:r>
      <w:r w:rsidR="004823D6">
        <w:rPr>
          <w:sz w:val="22"/>
          <w:szCs w:val="22"/>
        </w:rPr>
        <w:t xml:space="preserve"> Reassure patient that pain is normal and expected. Continue reinforcing they are going home.</w:t>
      </w:r>
    </w:p>
    <w:p w14:paraId="3FEFDC15" w14:textId="4399E38A" w:rsidR="00393096" w:rsidRDefault="00393096" w:rsidP="00214E75">
      <w:pPr>
        <w:pStyle w:val="NoSpacing"/>
        <w:numPr>
          <w:ilvl w:val="0"/>
          <w:numId w:val="9"/>
        </w:numPr>
        <w:contextualSpacing/>
        <w:rPr>
          <w:sz w:val="22"/>
          <w:szCs w:val="22"/>
        </w:rPr>
      </w:pPr>
      <w:r>
        <w:rPr>
          <w:sz w:val="22"/>
          <w:szCs w:val="22"/>
        </w:rPr>
        <w:t>Patient navigator will meet with patient and support person, answer questions, provide any relevant discharge instructions, and fax outpatient physiotherapy referral.</w:t>
      </w:r>
    </w:p>
    <w:p w14:paraId="2A9ABCCE" w14:textId="401C0CDE" w:rsidR="00393096" w:rsidRDefault="00393096" w:rsidP="00214E75">
      <w:pPr>
        <w:pStyle w:val="NoSpacing"/>
        <w:numPr>
          <w:ilvl w:val="0"/>
          <w:numId w:val="9"/>
        </w:numPr>
        <w:contextualSpacing/>
        <w:rPr>
          <w:sz w:val="22"/>
          <w:szCs w:val="22"/>
        </w:rPr>
      </w:pPr>
      <w:r>
        <w:rPr>
          <w:sz w:val="22"/>
          <w:szCs w:val="22"/>
        </w:rPr>
        <w:t>Patient and support person will watch video regarding DVT Prophylaxis.</w:t>
      </w:r>
    </w:p>
    <w:p w14:paraId="1EE8AF27" w14:textId="51D1E634" w:rsidR="00DE12D0" w:rsidRDefault="00DE12D0" w:rsidP="00214E75">
      <w:pPr>
        <w:pStyle w:val="NoSpacing"/>
        <w:numPr>
          <w:ilvl w:val="0"/>
          <w:numId w:val="9"/>
        </w:numPr>
        <w:contextualSpacing/>
        <w:rPr>
          <w:sz w:val="22"/>
          <w:szCs w:val="22"/>
        </w:rPr>
      </w:pPr>
      <w:r>
        <w:rPr>
          <w:sz w:val="22"/>
          <w:szCs w:val="22"/>
        </w:rPr>
        <w:t>Pharmacist will review discharge prescription and address any issues with the surgeon</w:t>
      </w:r>
    </w:p>
    <w:p w14:paraId="2AA318E8" w14:textId="22128CEE" w:rsidR="00393096" w:rsidRDefault="00393096" w:rsidP="00214E75">
      <w:pPr>
        <w:pStyle w:val="NoSpacing"/>
        <w:numPr>
          <w:ilvl w:val="0"/>
          <w:numId w:val="9"/>
        </w:numPr>
        <w:contextualSpacing/>
        <w:rPr>
          <w:sz w:val="22"/>
          <w:szCs w:val="22"/>
        </w:rPr>
      </w:pPr>
      <w:r>
        <w:rPr>
          <w:sz w:val="22"/>
          <w:szCs w:val="22"/>
        </w:rPr>
        <w:t xml:space="preserve">Pharmacist will </w:t>
      </w:r>
      <w:r w:rsidR="00DE12D0">
        <w:rPr>
          <w:sz w:val="22"/>
          <w:szCs w:val="22"/>
        </w:rPr>
        <w:t xml:space="preserve">print medication list for patient and tube to Day surgery. Patient navigator to review information with patient and support person. </w:t>
      </w:r>
    </w:p>
    <w:p w14:paraId="1237BBEC" w14:textId="4E67789A" w:rsidR="00DE12D0" w:rsidRDefault="00DE12D0" w:rsidP="00214E75">
      <w:pPr>
        <w:pStyle w:val="NoSpacing"/>
        <w:numPr>
          <w:ilvl w:val="0"/>
          <w:numId w:val="9"/>
        </w:numPr>
        <w:contextualSpacing/>
        <w:rPr>
          <w:sz w:val="22"/>
          <w:szCs w:val="22"/>
        </w:rPr>
      </w:pPr>
      <w:r>
        <w:rPr>
          <w:sz w:val="22"/>
          <w:szCs w:val="22"/>
        </w:rPr>
        <w:t>Pharmacist will be contacted to consult with patient and support person and provide information about the discharge prescription, upon request from the patient, nurse or surgeon, or as deemed necessary by the pharmacist.</w:t>
      </w:r>
    </w:p>
    <w:p w14:paraId="01FFA17B" w14:textId="70203237" w:rsidR="004823D6" w:rsidRPr="00FF0CF0" w:rsidRDefault="004823D6" w:rsidP="00214E75">
      <w:pPr>
        <w:pStyle w:val="NoSpacing"/>
        <w:numPr>
          <w:ilvl w:val="0"/>
          <w:numId w:val="9"/>
        </w:numPr>
        <w:contextualSpacing/>
        <w:rPr>
          <w:sz w:val="22"/>
          <w:szCs w:val="22"/>
        </w:rPr>
      </w:pPr>
      <w:r>
        <w:rPr>
          <w:sz w:val="22"/>
          <w:szCs w:val="22"/>
        </w:rPr>
        <w:t>If there are concerns abou</w:t>
      </w:r>
      <w:r w:rsidR="007564C0">
        <w:rPr>
          <w:sz w:val="22"/>
          <w:szCs w:val="22"/>
        </w:rPr>
        <w:t>t pain post-operatively, SADU nurse</w:t>
      </w:r>
      <w:r>
        <w:rPr>
          <w:sz w:val="22"/>
          <w:szCs w:val="22"/>
        </w:rPr>
        <w:t xml:space="preserve"> to contact anaesthesiologist and/or surgeon for intervention.</w:t>
      </w:r>
    </w:p>
    <w:p w14:paraId="3BB035BF" w14:textId="36EDEBFE" w:rsidR="00FF0CF0" w:rsidRPr="00FF0CF0" w:rsidRDefault="00FF0CF0" w:rsidP="00214E75">
      <w:pPr>
        <w:pStyle w:val="NoSpacing"/>
        <w:numPr>
          <w:ilvl w:val="0"/>
          <w:numId w:val="9"/>
        </w:numPr>
        <w:contextualSpacing/>
        <w:rPr>
          <w:sz w:val="22"/>
          <w:szCs w:val="22"/>
        </w:rPr>
      </w:pPr>
      <w:r w:rsidRPr="00FF0CF0">
        <w:rPr>
          <w:sz w:val="22"/>
          <w:szCs w:val="22"/>
        </w:rPr>
        <w:t>Once patient meets all discharge criteria, patien</w:t>
      </w:r>
      <w:r w:rsidR="00393096">
        <w:rPr>
          <w:sz w:val="22"/>
          <w:szCs w:val="22"/>
        </w:rPr>
        <w:t>t will be discharged home.</w:t>
      </w:r>
      <w:r w:rsidRPr="00FF0CF0">
        <w:rPr>
          <w:sz w:val="22"/>
          <w:szCs w:val="22"/>
        </w:rPr>
        <w:t xml:space="preserve"> </w:t>
      </w:r>
    </w:p>
    <w:p w14:paraId="720AA864" w14:textId="77777777" w:rsidR="00FF0CF0" w:rsidRPr="00FF0CF0" w:rsidRDefault="00FF0CF0" w:rsidP="00214E75">
      <w:pPr>
        <w:pStyle w:val="NoSpacing"/>
        <w:numPr>
          <w:ilvl w:val="1"/>
          <w:numId w:val="9"/>
        </w:numPr>
        <w:contextualSpacing/>
        <w:rPr>
          <w:b/>
          <w:sz w:val="22"/>
          <w:szCs w:val="22"/>
        </w:rPr>
      </w:pPr>
      <w:r w:rsidRPr="00FF0CF0">
        <w:rPr>
          <w:rFonts w:cs="Calibri"/>
          <w:b/>
          <w:sz w:val="22"/>
          <w:szCs w:val="22"/>
        </w:rPr>
        <w:t xml:space="preserve">Discharge Criteria </w:t>
      </w:r>
    </w:p>
    <w:p w14:paraId="1DEAF386" w14:textId="685D5741" w:rsidR="00FF0CF0" w:rsidRPr="00FF0CF0" w:rsidRDefault="00FF0CF0" w:rsidP="00214E75">
      <w:pPr>
        <w:pStyle w:val="NoSpacing"/>
        <w:numPr>
          <w:ilvl w:val="2"/>
          <w:numId w:val="9"/>
        </w:numPr>
        <w:contextualSpacing/>
        <w:rPr>
          <w:sz w:val="22"/>
          <w:szCs w:val="22"/>
        </w:rPr>
      </w:pPr>
      <w:r w:rsidRPr="00FF0CF0">
        <w:rPr>
          <w:rFonts w:cs="TimesNewRomanPSMT"/>
          <w:sz w:val="22"/>
          <w:szCs w:val="22"/>
        </w:rPr>
        <w:t>A</w:t>
      </w:r>
      <w:r w:rsidR="00393096">
        <w:rPr>
          <w:rFonts w:cs="TimesNewRomanPSMT"/>
          <w:sz w:val="22"/>
          <w:szCs w:val="22"/>
        </w:rPr>
        <w:t xml:space="preserve">cceptable Pain Control, including </w:t>
      </w:r>
      <w:r w:rsidR="00DE12D0">
        <w:rPr>
          <w:rFonts w:cs="TimesNewRomanPSMT"/>
          <w:sz w:val="22"/>
          <w:szCs w:val="22"/>
        </w:rPr>
        <w:t xml:space="preserve">lack of </w:t>
      </w:r>
      <w:r w:rsidR="00393096">
        <w:rPr>
          <w:rFonts w:cs="TimesNewRomanPSMT"/>
          <w:sz w:val="22"/>
          <w:szCs w:val="22"/>
        </w:rPr>
        <w:t xml:space="preserve">nausea and vomiting </w:t>
      </w:r>
      <w:r w:rsidRPr="00FF0CF0">
        <w:rPr>
          <w:rFonts w:cs="TimesNewRomanPSMT"/>
          <w:sz w:val="22"/>
          <w:szCs w:val="22"/>
        </w:rPr>
        <w:t xml:space="preserve"> </w:t>
      </w:r>
    </w:p>
    <w:p w14:paraId="598D246F" w14:textId="535E0841" w:rsidR="00FF0CF0" w:rsidRPr="00FF0CF0" w:rsidRDefault="00393096" w:rsidP="00214E75">
      <w:pPr>
        <w:pStyle w:val="NoSpacing"/>
        <w:numPr>
          <w:ilvl w:val="2"/>
          <w:numId w:val="9"/>
        </w:numPr>
        <w:contextualSpacing/>
        <w:rPr>
          <w:sz w:val="22"/>
          <w:szCs w:val="22"/>
        </w:rPr>
      </w:pPr>
      <w:r>
        <w:rPr>
          <w:rFonts w:cs="TimesNewRomanPSMT"/>
          <w:sz w:val="22"/>
          <w:szCs w:val="22"/>
        </w:rPr>
        <w:t>Able to v</w:t>
      </w:r>
      <w:r w:rsidR="00FF0CF0" w:rsidRPr="00FF0CF0">
        <w:rPr>
          <w:rFonts w:cs="TimesNewRomanPSMT"/>
          <w:sz w:val="22"/>
          <w:szCs w:val="22"/>
        </w:rPr>
        <w:t>oid</w:t>
      </w:r>
      <w:r>
        <w:rPr>
          <w:rFonts w:cs="TimesNewRomanPSMT"/>
          <w:sz w:val="22"/>
          <w:szCs w:val="22"/>
        </w:rPr>
        <w:t xml:space="preserve"> </w:t>
      </w:r>
      <w:r w:rsidR="00FF0CF0" w:rsidRPr="00FF0CF0">
        <w:rPr>
          <w:rFonts w:cs="TimesNewRomanPSMT"/>
          <w:sz w:val="22"/>
          <w:szCs w:val="22"/>
        </w:rPr>
        <w:t xml:space="preserve"> </w:t>
      </w:r>
    </w:p>
    <w:p w14:paraId="16BB9E7A" w14:textId="77777777" w:rsidR="00FF0CF0" w:rsidRPr="00FF0CF0" w:rsidRDefault="00FF0CF0" w:rsidP="00214E75">
      <w:pPr>
        <w:pStyle w:val="NoSpacing"/>
        <w:numPr>
          <w:ilvl w:val="2"/>
          <w:numId w:val="9"/>
        </w:numPr>
        <w:contextualSpacing/>
        <w:rPr>
          <w:sz w:val="22"/>
          <w:szCs w:val="22"/>
        </w:rPr>
      </w:pPr>
      <w:r w:rsidRPr="00FF0CF0">
        <w:rPr>
          <w:rFonts w:cs="TimesNewRomanPSMT"/>
          <w:sz w:val="22"/>
          <w:szCs w:val="22"/>
        </w:rPr>
        <w:t xml:space="preserve">Able to tolerate light diet </w:t>
      </w:r>
    </w:p>
    <w:p w14:paraId="58962BA3" w14:textId="06C049CE" w:rsidR="00393096" w:rsidRPr="00442262" w:rsidRDefault="007D5145" w:rsidP="00393096">
      <w:pPr>
        <w:pStyle w:val="NoSpacing"/>
        <w:numPr>
          <w:ilvl w:val="2"/>
          <w:numId w:val="9"/>
        </w:numPr>
        <w:contextualSpacing/>
        <w:rPr>
          <w:sz w:val="22"/>
          <w:szCs w:val="22"/>
        </w:rPr>
      </w:pPr>
      <w:r>
        <w:rPr>
          <w:rFonts w:cs="TimesNewRomanPSMT"/>
          <w:sz w:val="22"/>
          <w:szCs w:val="22"/>
        </w:rPr>
        <w:t>Meet PT criteria for discharge</w:t>
      </w:r>
    </w:p>
    <w:p w14:paraId="19DC1358" w14:textId="5FEC94AE" w:rsidR="00442262" w:rsidRPr="00393096" w:rsidRDefault="00442262" w:rsidP="00393096">
      <w:pPr>
        <w:pStyle w:val="NoSpacing"/>
        <w:numPr>
          <w:ilvl w:val="2"/>
          <w:numId w:val="9"/>
        </w:numPr>
        <w:contextualSpacing/>
        <w:rPr>
          <w:sz w:val="22"/>
          <w:szCs w:val="22"/>
        </w:rPr>
      </w:pPr>
      <w:r>
        <w:rPr>
          <w:rFonts w:cs="TimesNewRomanPSMT"/>
          <w:sz w:val="22"/>
          <w:szCs w:val="22"/>
        </w:rPr>
        <w:t>Post void residual less than 400cc</w:t>
      </w:r>
    </w:p>
    <w:p w14:paraId="5066C0F7" w14:textId="28A2CC4F" w:rsidR="00FF0CF0" w:rsidRPr="00FF0CF0" w:rsidRDefault="002E4C54" w:rsidP="00214E75">
      <w:pPr>
        <w:pStyle w:val="NoSpacing"/>
        <w:numPr>
          <w:ilvl w:val="0"/>
          <w:numId w:val="9"/>
        </w:numPr>
        <w:contextualSpacing/>
        <w:rPr>
          <w:sz w:val="22"/>
          <w:szCs w:val="22"/>
        </w:rPr>
      </w:pPr>
      <w:r>
        <w:rPr>
          <w:sz w:val="22"/>
          <w:szCs w:val="22"/>
        </w:rPr>
        <w:t>Support person</w:t>
      </w:r>
      <w:r w:rsidR="00FF0CF0" w:rsidRPr="00FF0CF0">
        <w:rPr>
          <w:sz w:val="22"/>
          <w:szCs w:val="22"/>
        </w:rPr>
        <w:t xml:space="preserve"> is required to stay with patient, at least, the first 4 nights after surgery. </w:t>
      </w:r>
    </w:p>
    <w:p w14:paraId="1105B327" w14:textId="419EAAAD" w:rsidR="00FF0CF0" w:rsidRPr="00FF0CF0" w:rsidRDefault="00FF0CF0" w:rsidP="00214E75">
      <w:pPr>
        <w:pStyle w:val="NoSpacing"/>
        <w:numPr>
          <w:ilvl w:val="0"/>
          <w:numId w:val="9"/>
        </w:numPr>
        <w:contextualSpacing/>
        <w:rPr>
          <w:sz w:val="22"/>
          <w:szCs w:val="22"/>
        </w:rPr>
      </w:pPr>
      <w:r w:rsidRPr="00FF0CF0">
        <w:rPr>
          <w:sz w:val="22"/>
          <w:szCs w:val="22"/>
        </w:rPr>
        <w:t xml:space="preserve">Patient and </w:t>
      </w:r>
      <w:r w:rsidR="002E4C54">
        <w:rPr>
          <w:sz w:val="22"/>
          <w:szCs w:val="22"/>
        </w:rPr>
        <w:t>support person</w:t>
      </w:r>
      <w:r w:rsidR="004823D6">
        <w:rPr>
          <w:sz w:val="22"/>
          <w:szCs w:val="22"/>
        </w:rPr>
        <w:t xml:space="preserve"> will be given prescription,</w:t>
      </w:r>
      <w:r w:rsidRPr="00FF0CF0">
        <w:rPr>
          <w:sz w:val="22"/>
          <w:szCs w:val="22"/>
        </w:rPr>
        <w:t xml:space="preserve"> discharge instruction paperwork</w:t>
      </w:r>
      <w:r w:rsidR="004823D6">
        <w:rPr>
          <w:sz w:val="22"/>
          <w:szCs w:val="22"/>
        </w:rPr>
        <w:t>, and information for follow-up appointment in fracture clinic</w:t>
      </w:r>
      <w:r w:rsidRPr="00FF0CF0">
        <w:rPr>
          <w:sz w:val="22"/>
          <w:szCs w:val="22"/>
        </w:rPr>
        <w:t xml:space="preserve">. </w:t>
      </w:r>
    </w:p>
    <w:p w14:paraId="22B69678" w14:textId="323785FF" w:rsidR="00FF0CF0" w:rsidRPr="00FF0CF0" w:rsidRDefault="00FF0CF0" w:rsidP="00214E75">
      <w:pPr>
        <w:pStyle w:val="NoSpacing"/>
        <w:numPr>
          <w:ilvl w:val="0"/>
          <w:numId w:val="9"/>
        </w:numPr>
        <w:contextualSpacing/>
        <w:rPr>
          <w:sz w:val="22"/>
          <w:szCs w:val="22"/>
        </w:rPr>
      </w:pPr>
      <w:r w:rsidRPr="00FF0CF0">
        <w:rPr>
          <w:sz w:val="22"/>
          <w:szCs w:val="22"/>
        </w:rPr>
        <w:t xml:space="preserve">Patient and </w:t>
      </w:r>
      <w:r w:rsidR="00393096">
        <w:rPr>
          <w:sz w:val="22"/>
          <w:szCs w:val="22"/>
        </w:rPr>
        <w:t>support person</w:t>
      </w:r>
      <w:r w:rsidRPr="00FF0CF0">
        <w:rPr>
          <w:sz w:val="22"/>
          <w:szCs w:val="22"/>
        </w:rPr>
        <w:t xml:space="preserve"> will be instructed: “In the case of emergency, patients should go to the Emergency Department”</w:t>
      </w:r>
      <w:r w:rsidR="00393096">
        <w:rPr>
          <w:sz w:val="22"/>
          <w:szCs w:val="22"/>
        </w:rPr>
        <w:t>. Day surgery RN will provide information to Post Surgical Wellness Clinic (PSWC).</w:t>
      </w:r>
      <w:r w:rsidRPr="00FF0CF0">
        <w:rPr>
          <w:sz w:val="22"/>
          <w:szCs w:val="22"/>
        </w:rPr>
        <w:t xml:space="preserve"> </w:t>
      </w:r>
    </w:p>
    <w:p w14:paraId="51B72F04" w14:textId="2BECDBD2" w:rsidR="00FF0CF0" w:rsidRPr="00C3319B" w:rsidRDefault="00FF0CF0" w:rsidP="00214E75">
      <w:pPr>
        <w:pStyle w:val="NoSpacing"/>
        <w:numPr>
          <w:ilvl w:val="0"/>
          <w:numId w:val="9"/>
        </w:numPr>
        <w:contextualSpacing/>
        <w:rPr>
          <w:sz w:val="22"/>
          <w:szCs w:val="22"/>
        </w:rPr>
      </w:pPr>
      <w:r w:rsidRPr="00C3319B">
        <w:rPr>
          <w:sz w:val="22"/>
          <w:szCs w:val="22"/>
        </w:rPr>
        <w:t>Patient</w:t>
      </w:r>
      <w:r w:rsidR="001F485A">
        <w:rPr>
          <w:sz w:val="22"/>
          <w:szCs w:val="22"/>
        </w:rPr>
        <w:t>s that are in phase I or II for</w:t>
      </w:r>
      <w:r w:rsidR="00DE12D0">
        <w:rPr>
          <w:sz w:val="22"/>
          <w:szCs w:val="22"/>
        </w:rPr>
        <w:t xml:space="preserve"> more than </w:t>
      </w:r>
      <w:r w:rsidRPr="00C3319B">
        <w:rPr>
          <w:sz w:val="22"/>
          <w:szCs w:val="22"/>
        </w:rPr>
        <w:t xml:space="preserve">six hours with minimal to no realized improvements </w:t>
      </w:r>
      <w:r w:rsidR="00A576C0">
        <w:rPr>
          <w:sz w:val="22"/>
          <w:szCs w:val="22"/>
        </w:rPr>
        <w:t xml:space="preserve">are unlikely to </w:t>
      </w:r>
      <w:r w:rsidRPr="00C3319B">
        <w:rPr>
          <w:sz w:val="22"/>
          <w:szCs w:val="22"/>
        </w:rPr>
        <w:t xml:space="preserve">be discharged. </w:t>
      </w:r>
    </w:p>
    <w:p w14:paraId="7B9399D8" w14:textId="3A2F46CF" w:rsidR="00FF0CF0" w:rsidRDefault="00794F66" w:rsidP="00214E75">
      <w:pPr>
        <w:pStyle w:val="NoSpacing"/>
        <w:numPr>
          <w:ilvl w:val="0"/>
          <w:numId w:val="9"/>
        </w:numPr>
        <w:contextualSpacing/>
        <w:rPr>
          <w:sz w:val="22"/>
          <w:szCs w:val="22"/>
        </w:rPr>
      </w:pPr>
      <w:r>
        <w:rPr>
          <w:sz w:val="22"/>
          <w:szCs w:val="22"/>
        </w:rPr>
        <w:t>If patients</w:t>
      </w:r>
      <w:r w:rsidR="00FF0CF0" w:rsidRPr="00FF0CF0">
        <w:rPr>
          <w:sz w:val="22"/>
          <w:szCs w:val="22"/>
        </w:rPr>
        <w:t xml:space="preserve"> do not meet all discharge criteria</w:t>
      </w:r>
      <w:r>
        <w:rPr>
          <w:sz w:val="22"/>
          <w:szCs w:val="22"/>
        </w:rPr>
        <w:t>,</w:t>
      </w:r>
      <w:r w:rsidR="00FF0CF0" w:rsidRPr="00FF0CF0">
        <w:rPr>
          <w:sz w:val="22"/>
          <w:szCs w:val="22"/>
        </w:rPr>
        <w:t xml:space="preserve"> </w:t>
      </w:r>
      <w:r>
        <w:rPr>
          <w:sz w:val="22"/>
          <w:szCs w:val="22"/>
        </w:rPr>
        <w:t>the care team (including</w:t>
      </w:r>
      <w:r w:rsidRPr="00FF0CF0">
        <w:rPr>
          <w:sz w:val="22"/>
          <w:szCs w:val="22"/>
        </w:rPr>
        <w:t xml:space="preserve"> Anesthesia, Surgeon and Nurse</w:t>
      </w:r>
      <w:r>
        <w:rPr>
          <w:sz w:val="22"/>
          <w:szCs w:val="22"/>
        </w:rPr>
        <w:t>)</w:t>
      </w:r>
      <w:r w:rsidRPr="00FF0CF0">
        <w:rPr>
          <w:sz w:val="22"/>
          <w:szCs w:val="22"/>
        </w:rPr>
        <w:t xml:space="preserve"> will decide best plan for patient</w:t>
      </w:r>
      <w:r>
        <w:rPr>
          <w:sz w:val="22"/>
          <w:szCs w:val="22"/>
        </w:rPr>
        <w:t>. P</w:t>
      </w:r>
      <w:r w:rsidR="00FF0CF0" w:rsidRPr="00FF0CF0">
        <w:rPr>
          <w:sz w:val="22"/>
          <w:szCs w:val="22"/>
        </w:rPr>
        <w:t xml:space="preserve">atient </w:t>
      </w:r>
      <w:r>
        <w:rPr>
          <w:sz w:val="22"/>
          <w:szCs w:val="22"/>
        </w:rPr>
        <w:t>may require admission to the inpatient unit</w:t>
      </w:r>
      <w:r w:rsidR="006370B0">
        <w:rPr>
          <w:sz w:val="22"/>
          <w:szCs w:val="22"/>
        </w:rPr>
        <w:t xml:space="preserve"> and plan for discharge home POD 1</w:t>
      </w:r>
      <w:r>
        <w:rPr>
          <w:sz w:val="22"/>
          <w:szCs w:val="22"/>
        </w:rPr>
        <w:t>. Examples:</w:t>
      </w:r>
    </w:p>
    <w:p w14:paraId="5106F6F5" w14:textId="23C0F82F" w:rsidR="00794F66" w:rsidRDefault="00794F66" w:rsidP="00794F66">
      <w:pPr>
        <w:pStyle w:val="NoSpacing"/>
        <w:numPr>
          <w:ilvl w:val="1"/>
          <w:numId w:val="9"/>
        </w:numPr>
        <w:contextualSpacing/>
        <w:rPr>
          <w:sz w:val="22"/>
          <w:szCs w:val="22"/>
        </w:rPr>
      </w:pPr>
      <w:r>
        <w:rPr>
          <w:sz w:val="22"/>
          <w:szCs w:val="22"/>
        </w:rPr>
        <w:t xml:space="preserve">Severe pain unrelieved </w:t>
      </w:r>
      <w:r w:rsidR="00EE57A1">
        <w:rPr>
          <w:sz w:val="22"/>
          <w:szCs w:val="22"/>
        </w:rPr>
        <w:t xml:space="preserve">by anaesthesiologist intervention </w:t>
      </w:r>
    </w:p>
    <w:p w14:paraId="22F4C475" w14:textId="4FD645F1" w:rsidR="00794F66" w:rsidRDefault="00794F66" w:rsidP="00794F66">
      <w:pPr>
        <w:pStyle w:val="NoSpacing"/>
        <w:numPr>
          <w:ilvl w:val="1"/>
          <w:numId w:val="9"/>
        </w:numPr>
        <w:contextualSpacing/>
        <w:rPr>
          <w:sz w:val="22"/>
          <w:szCs w:val="22"/>
        </w:rPr>
      </w:pPr>
      <w:r>
        <w:rPr>
          <w:sz w:val="22"/>
          <w:szCs w:val="22"/>
        </w:rPr>
        <w:t>Altered motor and/or sensory function preventing patient from ambulating</w:t>
      </w:r>
    </w:p>
    <w:p w14:paraId="6A46174C" w14:textId="4580B763" w:rsidR="00EE57A1" w:rsidRDefault="00EE57A1" w:rsidP="00794F66">
      <w:pPr>
        <w:pStyle w:val="NoSpacing"/>
        <w:numPr>
          <w:ilvl w:val="1"/>
          <w:numId w:val="9"/>
        </w:numPr>
        <w:contextualSpacing/>
        <w:rPr>
          <w:sz w:val="22"/>
          <w:szCs w:val="22"/>
        </w:rPr>
      </w:pPr>
      <w:r>
        <w:rPr>
          <w:sz w:val="22"/>
          <w:szCs w:val="22"/>
        </w:rPr>
        <w:t>Unable to wean patient off oxygen</w:t>
      </w:r>
    </w:p>
    <w:p w14:paraId="76083537" w14:textId="0E25800B" w:rsidR="00EE57A1" w:rsidRPr="00FF0CF0" w:rsidRDefault="00EE57A1" w:rsidP="00794F66">
      <w:pPr>
        <w:pStyle w:val="NoSpacing"/>
        <w:numPr>
          <w:ilvl w:val="1"/>
          <w:numId w:val="9"/>
        </w:numPr>
        <w:contextualSpacing/>
        <w:rPr>
          <w:sz w:val="22"/>
          <w:szCs w:val="22"/>
        </w:rPr>
      </w:pPr>
      <w:r>
        <w:rPr>
          <w:sz w:val="22"/>
          <w:szCs w:val="22"/>
        </w:rPr>
        <w:t>Presentation of any acute medical issue (e.g. chest pain, shortness of breath)</w:t>
      </w:r>
    </w:p>
    <w:p w14:paraId="05EF1C21" w14:textId="6CBA6E35" w:rsidR="00FF0CF0" w:rsidRPr="004823D6" w:rsidRDefault="00FF0CF0" w:rsidP="00214E75">
      <w:pPr>
        <w:pStyle w:val="NoSpacing"/>
        <w:numPr>
          <w:ilvl w:val="0"/>
          <w:numId w:val="9"/>
        </w:numPr>
        <w:contextualSpacing/>
        <w:rPr>
          <w:sz w:val="22"/>
          <w:szCs w:val="22"/>
        </w:rPr>
      </w:pPr>
      <w:r w:rsidRPr="00393096">
        <w:rPr>
          <w:sz w:val="22"/>
          <w:szCs w:val="22"/>
        </w:rPr>
        <w:t>When decisio</w:t>
      </w:r>
      <w:r w:rsidR="00696C98" w:rsidRPr="00393096">
        <w:rPr>
          <w:sz w:val="22"/>
          <w:szCs w:val="22"/>
        </w:rPr>
        <w:t>n is made to admit patient, SADU</w:t>
      </w:r>
      <w:r w:rsidR="007564C0">
        <w:rPr>
          <w:sz w:val="22"/>
          <w:szCs w:val="22"/>
        </w:rPr>
        <w:t xml:space="preserve"> nurse</w:t>
      </w:r>
      <w:r w:rsidRPr="00393096">
        <w:rPr>
          <w:sz w:val="22"/>
          <w:szCs w:val="22"/>
        </w:rPr>
        <w:t xml:space="preserve"> will call </w:t>
      </w:r>
      <w:r w:rsidR="00B45A18">
        <w:rPr>
          <w:sz w:val="22"/>
          <w:szCs w:val="22"/>
        </w:rPr>
        <w:t>bed allocation</w:t>
      </w:r>
      <w:r w:rsidRPr="00393096">
        <w:rPr>
          <w:sz w:val="22"/>
          <w:szCs w:val="22"/>
        </w:rPr>
        <w:t xml:space="preserve"> to change admission status and </w:t>
      </w:r>
      <w:r w:rsidR="007564C0">
        <w:rPr>
          <w:sz w:val="22"/>
          <w:szCs w:val="22"/>
        </w:rPr>
        <w:t>coordinate transfer to inpatient unit</w:t>
      </w:r>
      <w:r w:rsidRPr="00393096">
        <w:rPr>
          <w:sz w:val="22"/>
          <w:szCs w:val="22"/>
        </w:rPr>
        <w:t xml:space="preserve">. Surgeon or designee will enter inpatient admission orders. </w:t>
      </w:r>
    </w:p>
    <w:p w14:paraId="4116E339" w14:textId="77777777" w:rsidR="00FF0CF0" w:rsidRPr="00FF0CF0" w:rsidRDefault="00FF0CF0" w:rsidP="00214E75">
      <w:pPr>
        <w:pStyle w:val="NoSpacing"/>
        <w:contextualSpacing/>
        <w:rPr>
          <w:b/>
          <w:bCs/>
          <w:sz w:val="22"/>
          <w:szCs w:val="22"/>
        </w:rPr>
      </w:pPr>
    </w:p>
    <w:p w14:paraId="2617D541" w14:textId="77777777" w:rsidR="00FF0CF0" w:rsidRPr="00FF0CF0" w:rsidRDefault="00FF0CF0" w:rsidP="00214E75">
      <w:pPr>
        <w:pStyle w:val="NoSpacing"/>
        <w:contextualSpacing/>
        <w:rPr>
          <w:sz w:val="22"/>
          <w:szCs w:val="22"/>
        </w:rPr>
      </w:pPr>
      <w:r w:rsidRPr="00FF0CF0">
        <w:rPr>
          <w:b/>
          <w:bCs/>
          <w:sz w:val="22"/>
          <w:szCs w:val="22"/>
        </w:rPr>
        <w:t>Night of Surgery and Day After</w:t>
      </w:r>
      <w:r w:rsidRPr="00FF0CF0">
        <w:rPr>
          <w:sz w:val="22"/>
          <w:szCs w:val="22"/>
        </w:rPr>
        <w:t xml:space="preserve">: </w:t>
      </w:r>
    </w:p>
    <w:p w14:paraId="7B5CE664" w14:textId="77777777" w:rsidR="00FF0CF0" w:rsidRPr="00FF0CF0" w:rsidRDefault="00FF0CF0" w:rsidP="00214E75">
      <w:pPr>
        <w:pStyle w:val="NoSpacing"/>
        <w:contextualSpacing/>
        <w:rPr>
          <w:sz w:val="22"/>
          <w:szCs w:val="22"/>
        </w:rPr>
      </w:pPr>
    </w:p>
    <w:p w14:paraId="35FF8AFB" w14:textId="6A2E6FB4" w:rsidR="00FF0CF0" w:rsidRPr="00FF0CF0" w:rsidRDefault="00FF0CF0" w:rsidP="00214E75">
      <w:pPr>
        <w:pStyle w:val="NoSpacing"/>
        <w:numPr>
          <w:ilvl w:val="0"/>
          <w:numId w:val="10"/>
        </w:numPr>
        <w:contextualSpacing/>
        <w:rPr>
          <w:sz w:val="22"/>
          <w:szCs w:val="22"/>
        </w:rPr>
      </w:pPr>
      <w:r w:rsidRPr="00FF0CF0">
        <w:rPr>
          <w:sz w:val="22"/>
          <w:szCs w:val="22"/>
        </w:rPr>
        <w:t xml:space="preserve">Surgeon or designee will call their patient on the night of surgery.   </w:t>
      </w:r>
    </w:p>
    <w:p w14:paraId="27839461" w14:textId="1E94AD53" w:rsidR="00FF0CF0" w:rsidRDefault="004823D6" w:rsidP="00214E75">
      <w:pPr>
        <w:pStyle w:val="NoSpacing"/>
        <w:numPr>
          <w:ilvl w:val="0"/>
          <w:numId w:val="10"/>
        </w:numPr>
        <w:contextualSpacing/>
        <w:rPr>
          <w:sz w:val="22"/>
          <w:szCs w:val="22"/>
        </w:rPr>
      </w:pPr>
      <w:r>
        <w:rPr>
          <w:sz w:val="22"/>
          <w:szCs w:val="22"/>
        </w:rPr>
        <w:t>Orthopaedic patient navigator</w:t>
      </w:r>
      <w:r w:rsidR="00FF0CF0" w:rsidRPr="00FF0CF0">
        <w:rPr>
          <w:sz w:val="22"/>
          <w:szCs w:val="22"/>
        </w:rPr>
        <w:t xml:space="preserve"> or designee will call the patient</w:t>
      </w:r>
      <w:r>
        <w:rPr>
          <w:sz w:val="22"/>
          <w:szCs w:val="22"/>
        </w:rPr>
        <w:t xml:space="preserve"> or support person</w:t>
      </w:r>
      <w:r w:rsidR="00FF0CF0" w:rsidRPr="00FF0CF0">
        <w:rPr>
          <w:sz w:val="22"/>
          <w:szCs w:val="22"/>
        </w:rPr>
        <w:t xml:space="preserve"> the day after surgery to </w:t>
      </w:r>
      <w:r>
        <w:rPr>
          <w:sz w:val="22"/>
          <w:szCs w:val="22"/>
        </w:rPr>
        <w:t xml:space="preserve">assess </w:t>
      </w:r>
      <w:r w:rsidR="00FF0CF0" w:rsidRPr="00FF0CF0">
        <w:rPr>
          <w:sz w:val="22"/>
          <w:szCs w:val="22"/>
        </w:rPr>
        <w:t>patient</w:t>
      </w:r>
      <w:r>
        <w:rPr>
          <w:sz w:val="22"/>
          <w:szCs w:val="22"/>
        </w:rPr>
        <w:t xml:space="preserve"> status</w:t>
      </w:r>
      <w:r w:rsidR="00FF0CF0" w:rsidRPr="00FF0CF0">
        <w:rPr>
          <w:sz w:val="22"/>
          <w:szCs w:val="22"/>
        </w:rPr>
        <w:t xml:space="preserve"> and answer any questions.</w:t>
      </w:r>
      <w:r>
        <w:rPr>
          <w:sz w:val="22"/>
          <w:szCs w:val="22"/>
        </w:rPr>
        <w:t xml:space="preserve"> </w:t>
      </w:r>
    </w:p>
    <w:p w14:paraId="48CA1701" w14:textId="17C133B1" w:rsidR="004823D6" w:rsidRPr="00FF0CF0" w:rsidRDefault="004823D6" w:rsidP="00214E75">
      <w:pPr>
        <w:pStyle w:val="NoSpacing"/>
        <w:numPr>
          <w:ilvl w:val="0"/>
          <w:numId w:val="10"/>
        </w:numPr>
        <w:contextualSpacing/>
        <w:rPr>
          <w:sz w:val="22"/>
          <w:szCs w:val="22"/>
        </w:rPr>
      </w:pPr>
      <w:r>
        <w:rPr>
          <w:sz w:val="22"/>
          <w:szCs w:val="22"/>
        </w:rPr>
        <w:lastRenderedPageBreak/>
        <w:t xml:space="preserve">A Nurse Practitioner (NP) will </w:t>
      </w:r>
      <w:r w:rsidR="0042379B">
        <w:rPr>
          <w:sz w:val="22"/>
          <w:szCs w:val="22"/>
        </w:rPr>
        <w:t xml:space="preserve">be available to assess patients </w:t>
      </w:r>
      <w:r w:rsidR="00DC32C9">
        <w:rPr>
          <w:sz w:val="22"/>
          <w:szCs w:val="22"/>
        </w:rPr>
        <w:t xml:space="preserve">in the PSWC </w:t>
      </w:r>
      <w:r w:rsidR="0042379B">
        <w:rPr>
          <w:sz w:val="22"/>
          <w:szCs w:val="22"/>
        </w:rPr>
        <w:t>if need be within 30 days post-op.</w:t>
      </w:r>
    </w:p>
    <w:p w14:paraId="188D7B5E" w14:textId="77777777" w:rsidR="00FF0CF0" w:rsidRPr="00F97DD1" w:rsidRDefault="00FF0CF0" w:rsidP="00214E75">
      <w:pPr>
        <w:pStyle w:val="NoSpacing"/>
        <w:contextualSpacing/>
        <w:rPr>
          <w:rFonts w:ascii="Cambria" w:hAnsi="Cambria" w:cs="TimesNewRomanPSMT"/>
        </w:rPr>
      </w:pPr>
    </w:p>
    <w:p w14:paraId="06C27C39" w14:textId="77777777" w:rsidR="00FF0CF0" w:rsidRPr="00F97DD1" w:rsidRDefault="00FF0CF0" w:rsidP="00214E75">
      <w:pPr>
        <w:pStyle w:val="NoSpacing"/>
        <w:contextualSpacing/>
        <w:rPr>
          <w:rFonts w:ascii="Cambria" w:hAnsi="Cambria"/>
        </w:rPr>
      </w:pPr>
    </w:p>
    <w:p w14:paraId="6E245D96" w14:textId="77777777" w:rsidR="00FF0CF0" w:rsidRPr="00A25F90" w:rsidRDefault="00FF0CF0" w:rsidP="00214E75">
      <w:pPr>
        <w:spacing w:line="240" w:lineRule="auto"/>
        <w:contextualSpacing/>
      </w:pPr>
    </w:p>
    <w:p w14:paraId="04273D41" w14:textId="2D345221" w:rsidR="004B02B7" w:rsidRPr="000323AC" w:rsidRDefault="000323AC" w:rsidP="00214E75">
      <w:pPr>
        <w:spacing w:after="0" w:line="240" w:lineRule="auto"/>
        <w:contextualSpacing/>
        <w:rPr>
          <w:b/>
        </w:rPr>
      </w:pPr>
      <w:r w:rsidRPr="000323AC">
        <w:rPr>
          <w:b/>
        </w:rPr>
        <w:t>Reference</w:t>
      </w:r>
    </w:p>
    <w:p w14:paraId="4B3F8F02" w14:textId="3B0D037C" w:rsidR="000323AC" w:rsidRPr="000323AC" w:rsidRDefault="000323AC" w:rsidP="00214E75">
      <w:pPr>
        <w:spacing w:after="0" w:line="240" w:lineRule="auto"/>
        <w:contextualSpacing/>
      </w:pPr>
      <w:r>
        <w:t xml:space="preserve">Bodrogi, A., Dervin, G., &amp; Beaule, P. (2020). Management of patients undergoing same-day discharge primary total hip and knee arthroplasty. </w:t>
      </w:r>
      <w:r>
        <w:rPr>
          <w:i/>
        </w:rPr>
        <w:t>CMAJ, 192</w:t>
      </w:r>
      <w:r>
        <w:t>, E34-39. doi:10.1503/cmaj.190182</w:t>
      </w:r>
    </w:p>
    <w:sectPr w:rsidR="000323AC" w:rsidRPr="000323AC">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CC29B" w14:textId="77777777" w:rsidR="00DE1F0B" w:rsidRDefault="00DE1F0B" w:rsidP="00D1508F">
      <w:pPr>
        <w:spacing w:after="0" w:line="240" w:lineRule="auto"/>
      </w:pPr>
      <w:r>
        <w:separator/>
      </w:r>
    </w:p>
  </w:endnote>
  <w:endnote w:type="continuationSeparator" w:id="0">
    <w:p w14:paraId="17DE02B8" w14:textId="77777777" w:rsidR="00DE1F0B" w:rsidRDefault="00DE1F0B" w:rsidP="00D15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232954"/>
      <w:docPartObj>
        <w:docPartGallery w:val="Page Numbers (Bottom of Page)"/>
        <w:docPartUnique/>
      </w:docPartObj>
    </w:sdtPr>
    <w:sdtEndPr>
      <w:rPr>
        <w:noProof/>
      </w:rPr>
    </w:sdtEndPr>
    <w:sdtContent>
      <w:p w14:paraId="2EA67120" w14:textId="77777777" w:rsidR="00D1508F" w:rsidRPr="00D1508F" w:rsidRDefault="00D1508F" w:rsidP="00D1508F">
        <w:pPr>
          <w:pStyle w:val="Footer"/>
          <w:jc w:val="right"/>
          <w:rPr>
            <w:sz w:val="16"/>
            <w:szCs w:val="16"/>
          </w:rPr>
        </w:pPr>
        <w:r w:rsidRPr="00D1508F">
          <w:rPr>
            <w:sz w:val="16"/>
            <w:szCs w:val="16"/>
          </w:rPr>
          <w:t>Same Day Total Joint Replacement Protocol</w:t>
        </w:r>
      </w:p>
      <w:p w14:paraId="424E9E29" w14:textId="77777777" w:rsidR="00D1508F" w:rsidRPr="00D1508F" w:rsidRDefault="00D1508F" w:rsidP="00D1508F">
        <w:pPr>
          <w:pStyle w:val="Footer"/>
          <w:jc w:val="right"/>
          <w:rPr>
            <w:sz w:val="16"/>
            <w:szCs w:val="16"/>
          </w:rPr>
        </w:pPr>
        <w:r w:rsidRPr="00D1508F">
          <w:rPr>
            <w:sz w:val="16"/>
            <w:szCs w:val="16"/>
          </w:rPr>
          <w:t>Surgical Program</w:t>
        </w:r>
      </w:p>
      <w:p w14:paraId="5D1653F3" w14:textId="068D5FC7" w:rsidR="00D1508F" w:rsidRPr="00D1508F" w:rsidRDefault="001F485A" w:rsidP="00D1508F">
        <w:pPr>
          <w:pStyle w:val="Footer"/>
          <w:jc w:val="right"/>
          <w:rPr>
            <w:sz w:val="16"/>
            <w:szCs w:val="16"/>
          </w:rPr>
        </w:pPr>
        <w:r>
          <w:rPr>
            <w:sz w:val="16"/>
            <w:szCs w:val="16"/>
          </w:rPr>
          <w:t>Updated Jul</w:t>
        </w:r>
        <w:r w:rsidR="00D1508F" w:rsidRPr="00D1508F">
          <w:rPr>
            <w:sz w:val="16"/>
            <w:szCs w:val="16"/>
          </w:rPr>
          <w:t>y 2021</w:t>
        </w:r>
      </w:p>
      <w:p w14:paraId="3C9F6EF0" w14:textId="7EE7619F" w:rsidR="00D1508F" w:rsidRDefault="00D1508F" w:rsidP="00D1508F">
        <w:pPr>
          <w:pStyle w:val="Footer"/>
          <w:jc w:val="right"/>
        </w:pPr>
        <w:r>
          <w:t xml:space="preserve"> </w:t>
        </w:r>
        <w:r>
          <w:fldChar w:fldCharType="begin"/>
        </w:r>
        <w:r>
          <w:instrText xml:space="preserve"> PAGE   \* MERGEFORMAT </w:instrText>
        </w:r>
        <w:r>
          <w:fldChar w:fldCharType="separate"/>
        </w:r>
        <w:r w:rsidR="00F56A0C">
          <w:rPr>
            <w:noProof/>
          </w:rPr>
          <w:t>1</w:t>
        </w:r>
        <w:r>
          <w:rPr>
            <w:noProof/>
          </w:rPr>
          <w:fldChar w:fldCharType="end"/>
        </w:r>
      </w:p>
    </w:sdtContent>
  </w:sdt>
  <w:p w14:paraId="4B6FC8F9" w14:textId="77777777" w:rsidR="00D1508F" w:rsidRDefault="00D15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96E28" w14:textId="77777777" w:rsidR="00DE1F0B" w:rsidRDefault="00DE1F0B" w:rsidP="00D1508F">
      <w:pPr>
        <w:spacing w:after="0" w:line="240" w:lineRule="auto"/>
      </w:pPr>
      <w:r>
        <w:separator/>
      </w:r>
    </w:p>
  </w:footnote>
  <w:footnote w:type="continuationSeparator" w:id="0">
    <w:p w14:paraId="494FB143" w14:textId="77777777" w:rsidR="00DE1F0B" w:rsidRDefault="00DE1F0B" w:rsidP="00D150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32D8"/>
    <w:multiLevelType w:val="hybridMultilevel"/>
    <w:tmpl w:val="834C9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32EA2"/>
    <w:multiLevelType w:val="hybridMultilevel"/>
    <w:tmpl w:val="4D144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EA4B45"/>
    <w:multiLevelType w:val="hybridMultilevel"/>
    <w:tmpl w:val="E9FAA0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426"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FE0C90"/>
    <w:multiLevelType w:val="hybridMultilevel"/>
    <w:tmpl w:val="6D32B97C"/>
    <w:lvl w:ilvl="0" w:tplc="04090001">
      <w:start w:val="1"/>
      <w:numFmt w:val="bullet"/>
      <w:lvlText w:val=""/>
      <w:lvlJc w:val="left"/>
      <w:pPr>
        <w:ind w:left="1440" w:hanging="360"/>
      </w:pPr>
      <w:rPr>
        <w:rFonts w:ascii="Symbol" w:hAnsi="Symbol" w:hint="default"/>
      </w:rPr>
    </w:lvl>
    <w:lvl w:ilvl="1" w:tplc="10090001">
      <w:start w:val="1"/>
      <w:numFmt w:val="bullet"/>
      <w:lvlText w:val=""/>
      <w:lvlJc w:val="left"/>
      <w:pPr>
        <w:ind w:left="786" w:hanging="360"/>
      </w:pPr>
      <w:rPr>
        <w:rFonts w:ascii="Symbol" w:hAnsi="Symbol" w:hint="default"/>
      </w:rPr>
    </w:lvl>
    <w:lvl w:ilvl="2" w:tplc="10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8C54DE"/>
    <w:multiLevelType w:val="hybridMultilevel"/>
    <w:tmpl w:val="64F6A194"/>
    <w:lvl w:ilvl="0" w:tplc="8AFC594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F8348B"/>
    <w:multiLevelType w:val="hybridMultilevel"/>
    <w:tmpl w:val="062627B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A167FA"/>
    <w:multiLevelType w:val="hybridMultilevel"/>
    <w:tmpl w:val="8F2AAF42"/>
    <w:lvl w:ilvl="0" w:tplc="AB8C9542">
      <w:start w:val="1"/>
      <w:numFmt w:val="decimal"/>
      <w:lvlText w:val="%1."/>
      <w:lvlJc w:val="left"/>
      <w:pPr>
        <w:ind w:left="720" w:hanging="360"/>
      </w:pPr>
      <w:rPr>
        <w:rFonts w:ascii="Cambria" w:hAnsi="Cambria"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A3778"/>
    <w:multiLevelType w:val="hybridMultilevel"/>
    <w:tmpl w:val="74541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120BD"/>
    <w:multiLevelType w:val="hybridMultilevel"/>
    <w:tmpl w:val="365E0A2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05E421D"/>
    <w:multiLevelType w:val="hybridMultilevel"/>
    <w:tmpl w:val="6C3CD7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9F9366D"/>
    <w:multiLevelType w:val="hybridMultilevel"/>
    <w:tmpl w:val="5BBA43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1828B5"/>
    <w:multiLevelType w:val="hybridMultilevel"/>
    <w:tmpl w:val="2B8C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E726F"/>
    <w:multiLevelType w:val="hybridMultilevel"/>
    <w:tmpl w:val="BC768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0E67224"/>
    <w:multiLevelType w:val="hybridMultilevel"/>
    <w:tmpl w:val="19DEE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4D72F05"/>
    <w:multiLevelType w:val="multilevel"/>
    <w:tmpl w:val="30CC7E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86"/>
        </w:tabs>
        <w:ind w:left="786"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B02F9B"/>
    <w:multiLevelType w:val="hybridMultilevel"/>
    <w:tmpl w:val="2FD43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4AF3750"/>
    <w:multiLevelType w:val="hybridMultilevel"/>
    <w:tmpl w:val="6D9205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FC1702F"/>
    <w:multiLevelType w:val="hybridMultilevel"/>
    <w:tmpl w:val="399A19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6"/>
  </w:num>
  <w:num w:numId="5">
    <w:abstractNumId w:val="14"/>
  </w:num>
  <w:num w:numId="6">
    <w:abstractNumId w:val="2"/>
  </w:num>
  <w:num w:numId="7">
    <w:abstractNumId w:val="0"/>
  </w:num>
  <w:num w:numId="8">
    <w:abstractNumId w:val="15"/>
  </w:num>
  <w:num w:numId="9">
    <w:abstractNumId w:val="7"/>
  </w:num>
  <w:num w:numId="10">
    <w:abstractNumId w:val="11"/>
  </w:num>
  <w:num w:numId="11">
    <w:abstractNumId w:val="4"/>
  </w:num>
  <w:num w:numId="12">
    <w:abstractNumId w:val="3"/>
  </w:num>
  <w:num w:numId="13">
    <w:abstractNumId w:val="13"/>
  </w:num>
  <w:num w:numId="14">
    <w:abstractNumId w:val="1"/>
  </w:num>
  <w:num w:numId="15">
    <w:abstractNumId w:val="17"/>
  </w:num>
  <w:num w:numId="16">
    <w:abstractNumId w:val="12"/>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1C8"/>
    <w:rsid w:val="00002D91"/>
    <w:rsid w:val="000323AC"/>
    <w:rsid w:val="000B5DB2"/>
    <w:rsid w:val="000C6EA5"/>
    <w:rsid w:val="000E4826"/>
    <w:rsid w:val="001142A8"/>
    <w:rsid w:val="00133419"/>
    <w:rsid w:val="00181865"/>
    <w:rsid w:val="001911FF"/>
    <w:rsid w:val="001D72D8"/>
    <w:rsid w:val="001E63B0"/>
    <w:rsid w:val="001F485A"/>
    <w:rsid w:val="00211337"/>
    <w:rsid w:val="00214E75"/>
    <w:rsid w:val="00243030"/>
    <w:rsid w:val="002741C8"/>
    <w:rsid w:val="002E4C54"/>
    <w:rsid w:val="003410C0"/>
    <w:rsid w:val="00377ADD"/>
    <w:rsid w:val="00393096"/>
    <w:rsid w:val="00393F64"/>
    <w:rsid w:val="003C3F5F"/>
    <w:rsid w:val="003E582B"/>
    <w:rsid w:val="00420623"/>
    <w:rsid w:val="0042379B"/>
    <w:rsid w:val="00442262"/>
    <w:rsid w:val="00456817"/>
    <w:rsid w:val="00475BBF"/>
    <w:rsid w:val="004823D6"/>
    <w:rsid w:val="004B02B7"/>
    <w:rsid w:val="004B7F17"/>
    <w:rsid w:val="004C6326"/>
    <w:rsid w:val="00523686"/>
    <w:rsid w:val="00535A1D"/>
    <w:rsid w:val="005A3755"/>
    <w:rsid w:val="005B1410"/>
    <w:rsid w:val="005C671E"/>
    <w:rsid w:val="005E00F7"/>
    <w:rsid w:val="00635041"/>
    <w:rsid w:val="006370B0"/>
    <w:rsid w:val="0068353A"/>
    <w:rsid w:val="00696C98"/>
    <w:rsid w:val="006C5D6B"/>
    <w:rsid w:val="006E0005"/>
    <w:rsid w:val="007564C0"/>
    <w:rsid w:val="00762569"/>
    <w:rsid w:val="00783F14"/>
    <w:rsid w:val="00794F66"/>
    <w:rsid w:val="007B305B"/>
    <w:rsid w:val="007C779F"/>
    <w:rsid w:val="007D5145"/>
    <w:rsid w:val="007E54AA"/>
    <w:rsid w:val="007F757C"/>
    <w:rsid w:val="008D36D1"/>
    <w:rsid w:val="00981CC2"/>
    <w:rsid w:val="00994647"/>
    <w:rsid w:val="00994940"/>
    <w:rsid w:val="00A25F90"/>
    <w:rsid w:val="00A348A0"/>
    <w:rsid w:val="00A576C0"/>
    <w:rsid w:val="00AB18D5"/>
    <w:rsid w:val="00AD4F6C"/>
    <w:rsid w:val="00B45A18"/>
    <w:rsid w:val="00B50C98"/>
    <w:rsid w:val="00B70353"/>
    <w:rsid w:val="00C23501"/>
    <w:rsid w:val="00C3319B"/>
    <w:rsid w:val="00C63527"/>
    <w:rsid w:val="00C75A6B"/>
    <w:rsid w:val="00C75EE6"/>
    <w:rsid w:val="00C818F9"/>
    <w:rsid w:val="00CA37D7"/>
    <w:rsid w:val="00D1508F"/>
    <w:rsid w:val="00DA6CA8"/>
    <w:rsid w:val="00DC32C9"/>
    <w:rsid w:val="00DC5C3B"/>
    <w:rsid w:val="00DD4FA7"/>
    <w:rsid w:val="00DE12D0"/>
    <w:rsid w:val="00DE1F0B"/>
    <w:rsid w:val="00E04CC1"/>
    <w:rsid w:val="00E22161"/>
    <w:rsid w:val="00E26D99"/>
    <w:rsid w:val="00E4006F"/>
    <w:rsid w:val="00E96B72"/>
    <w:rsid w:val="00ED0813"/>
    <w:rsid w:val="00EE024D"/>
    <w:rsid w:val="00EE57A1"/>
    <w:rsid w:val="00F56A0C"/>
    <w:rsid w:val="00F5708C"/>
    <w:rsid w:val="00FD3298"/>
    <w:rsid w:val="00FF0C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F7C27"/>
  <w15:docId w15:val="{4636F40A-01F9-4F27-AF09-7A4AF611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826"/>
    <w:pPr>
      <w:spacing w:after="0" w:line="240" w:lineRule="auto"/>
      <w:ind w:left="720"/>
      <w:contextualSpacing/>
    </w:pPr>
    <w:rPr>
      <w:sz w:val="24"/>
      <w:szCs w:val="24"/>
    </w:rPr>
  </w:style>
  <w:style w:type="paragraph" w:styleId="NoSpacing">
    <w:name w:val="No Spacing"/>
    <w:uiPriority w:val="1"/>
    <w:qFormat/>
    <w:rsid w:val="00FF0CF0"/>
    <w:pPr>
      <w:spacing w:after="0" w:line="240" w:lineRule="auto"/>
    </w:pPr>
    <w:rPr>
      <w:sz w:val="24"/>
      <w:szCs w:val="24"/>
    </w:rPr>
  </w:style>
  <w:style w:type="paragraph" w:styleId="Header">
    <w:name w:val="header"/>
    <w:basedOn w:val="Normal"/>
    <w:link w:val="HeaderChar"/>
    <w:uiPriority w:val="99"/>
    <w:unhideWhenUsed/>
    <w:rsid w:val="00D15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08F"/>
  </w:style>
  <w:style w:type="paragraph" w:styleId="Footer">
    <w:name w:val="footer"/>
    <w:basedOn w:val="Normal"/>
    <w:link w:val="FooterChar"/>
    <w:uiPriority w:val="99"/>
    <w:unhideWhenUsed/>
    <w:rsid w:val="00D15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08F"/>
  </w:style>
  <w:style w:type="character" w:styleId="CommentReference">
    <w:name w:val="annotation reference"/>
    <w:basedOn w:val="DefaultParagraphFont"/>
    <w:uiPriority w:val="99"/>
    <w:semiHidden/>
    <w:unhideWhenUsed/>
    <w:rsid w:val="00181865"/>
    <w:rPr>
      <w:sz w:val="16"/>
      <w:szCs w:val="16"/>
    </w:rPr>
  </w:style>
  <w:style w:type="paragraph" w:styleId="CommentText">
    <w:name w:val="annotation text"/>
    <w:basedOn w:val="Normal"/>
    <w:link w:val="CommentTextChar"/>
    <w:uiPriority w:val="99"/>
    <w:semiHidden/>
    <w:unhideWhenUsed/>
    <w:rsid w:val="00181865"/>
    <w:pPr>
      <w:spacing w:line="240" w:lineRule="auto"/>
    </w:pPr>
    <w:rPr>
      <w:sz w:val="20"/>
      <w:szCs w:val="20"/>
    </w:rPr>
  </w:style>
  <w:style w:type="character" w:customStyle="1" w:styleId="CommentTextChar">
    <w:name w:val="Comment Text Char"/>
    <w:basedOn w:val="DefaultParagraphFont"/>
    <w:link w:val="CommentText"/>
    <w:uiPriority w:val="99"/>
    <w:semiHidden/>
    <w:rsid w:val="00181865"/>
    <w:rPr>
      <w:sz w:val="20"/>
      <w:szCs w:val="20"/>
    </w:rPr>
  </w:style>
  <w:style w:type="paragraph" w:styleId="CommentSubject">
    <w:name w:val="annotation subject"/>
    <w:basedOn w:val="CommentText"/>
    <w:next w:val="CommentText"/>
    <w:link w:val="CommentSubjectChar"/>
    <w:uiPriority w:val="99"/>
    <w:semiHidden/>
    <w:unhideWhenUsed/>
    <w:rsid w:val="00181865"/>
    <w:rPr>
      <w:b/>
      <w:bCs/>
    </w:rPr>
  </w:style>
  <w:style w:type="character" w:customStyle="1" w:styleId="CommentSubjectChar">
    <w:name w:val="Comment Subject Char"/>
    <w:basedOn w:val="CommentTextChar"/>
    <w:link w:val="CommentSubject"/>
    <w:uiPriority w:val="99"/>
    <w:semiHidden/>
    <w:rsid w:val="00181865"/>
    <w:rPr>
      <w:b/>
      <w:bCs/>
      <w:sz w:val="20"/>
      <w:szCs w:val="20"/>
    </w:rPr>
  </w:style>
  <w:style w:type="paragraph" w:styleId="BalloonText">
    <w:name w:val="Balloon Text"/>
    <w:basedOn w:val="Normal"/>
    <w:link w:val="BalloonTextChar"/>
    <w:uiPriority w:val="99"/>
    <w:semiHidden/>
    <w:unhideWhenUsed/>
    <w:rsid w:val="00181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865"/>
    <w:rPr>
      <w:rFonts w:ascii="Segoe UI" w:hAnsi="Segoe UI" w:cs="Segoe UI"/>
      <w:sz w:val="18"/>
      <w:szCs w:val="18"/>
    </w:rPr>
  </w:style>
  <w:style w:type="table" w:styleId="TableGrid">
    <w:name w:val="Table Grid"/>
    <w:basedOn w:val="TableNormal"/>
    <w:uiPriority w:val="59"/>
    <w:rsid w:val="00762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C058D-3574-4132-80CD-10163E5C8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Markham Stouffville Hospital</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Krystle</dc:creator>
  <cp:lastModifiedBy>Yeboah, Jasmine</cp:lastModifiedBy>
  <cp:revision>2</cp:revision>
  <dcterms:created xsi:type="dcterms:W3CDTF">2021-09-03T18:25:00Z</dcterms:created>
  <dcterms:modified xsi:type="dcterms:W3CDTF">2021-09-03T18:25:00Z</dcterms:modified>
</cp:coreProperties>
</file>